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20"/>
      </w:pPr>
      <w:r>
        <w:rPr>
          <w:rFonts w:ascii="Times New Roman"/>
        </w:rPr>
        <w:t>ICS</w:t>
      </w:r>
      <w:r>
        <w:rPr>
          <w:rFonts w:hint="eastAsia" w:ascii="MS Mincho" w:hAnsi="MS Mincho" w:eastAsia="MS Mincho" w:cs="MS Mincho"/>
        </w:rPr>
        <w:t> </w:t>
      </w:r>
      <w:bookmarkStart w:id="0" w:name="ICS"/>
      <w:r>
        <w:fldChar w:fldCharType="begin">
          <w:ffData>
            <w:name w:val="ICS"/>
            <w:enabled/>
            <w:calcOnExit w:val="0"/>
            <w:helpText w:type="text" w:val="请输入正确的ICS号："/>
            <w:textInput>
              <w:default w:val="点击此处添加ICS号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</w:rPr>
        <w:t>03.160</w:t>
      </w:r>
      <w:r>
        <w:fldChar w:fldCharType="end"/>
      </w:r>
      <w:bookmarkEnd w:id="0"/>
    </w:p>
    <w:p>
      <w:pPr>
        <w:pStyle w:val="120"/>
      </w:pPr>
      <w:bookmarkStart w:id="1" w:name="WXFLH"/>
      <w:r>
        <w:fldChar w:fldCharType="begin">
          <w:ffData>
            <w:name w:val="WXFLH"/>
            <w:enabled/>
            <w:calcOnExit w:val="0"/>
            <w:helpText w:type="text" w:val="请输入中国标准文献分类号："/>
            <w:textInput>
              <w:default w:val="点击此处添加中国标准文献分类号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</w:rPr>
        <w:t>A00</w:t>
      </w:r>
      <w:r>
        <w:fldChar w:fldCharType="end"/>
      </w:r>
      <w:bookmarkEnd w:id="1"/>
    </w:p>
    <w:p>
      <w:pPr>
        <w:pStyle w:val="120"/>
      </w:pPr>
    </w:p>
    <w:tbl>
      <w:tblPr>
        <w:tblStyle w:val="36"/>
        <w:tblW w:w="985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120"/>
            </w:pPr>
            <w:r>
              <w:pict>
                <v:rect id="BAH" o:spid="_x0000_s1040" o:spt="1" style="position:absolute;left:0pt;margin-left:-5.25pt;margin-top:0pt;height:15.6pt;width:68.25pt;z-index:-251656192;mso-width-relative:page;mso-height-relative:page;" stroked="f" coordsize="21600,21600">
                  <v:path/>
                  <v:fill focussize="0,0"/>
                  <v:stroke on="f"/>
                  <v:imagedata o:title=""/>
                  <o:lock v:ext="edit"/>
                </v:rect>
              </w:pict>
            </w:r>
            <w:r>
              <w:fldChar w:fldCharType="begin">
                <w:ffData>
                  <w:name w:val="BAH"/>
                  <w:enabled/>
                  <w:calcOnExit w:val="0"/>
                  <w:textInput/>
                </w:ffData>
              </w:fldChar>
            </w:r>
            <w:bookmarkStart w:id="2" w:name="BAH"/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  <w:bookmarkEnd w:id="2"/>
          </w:p>
        </w:tc>
      </w:tr>
    </w:tbl>
    <w:p>
      <w:pPr>
        <w:pStyle w:val="106"/>
      </w:pPr>
      <w:r>
        <w:t>DB</w:t>
      </w:r>
      <w:r>
        <w:fldChar w:fldCharType="begin">
          <w:ffData>
            <w:name w:val="c3"/>
            <w:enabled/>
            <w:calcOnExit w:val="0"/>
            <w:textInput>
              <w:maxLength w:val="2"/>
            </w:textInput>
          </w:ffData>
        </w:fldChar>
      </w:r>
      <w:bookmarkStart w:id="3" w:name="c3"/>
      <w:r>
        <w:instrText xml:space="preserve"> FORMTEXT </w:instrText>
      </w:r>
      <w:r>
        <w:fldChar w:fldCharType="separate"/>
      </w:r>
      <w:r>
        <w:rPr>
          <w:rFonts w:hint="eastAsia"/>
        </w:rPr>
        <w:t>32</w:t>
      </w:r>
      <w:r>
        <w:fldChar w:fldCharType="end"/>
      </w:r>
      <w:bookmarkEnd w:id="3"/>
    </w:p>
    <w:p>
      <w:pPr>
        <w:pStyle w:val="107"/>
      </w:pPr>
      <w:r>
        <w:fldChar w:fldCharType="begin">
          <w:ffData>
            <w:name w:val="c4"/>
            <w:enabled/>
            <w:calcOnExit w:val="0"/>
            <w:textInput/>
          </w:ffData>
        </w:fldChar>
      </w:r>
      <w:bookmarkStart w:id="4" w:name="c4"/>
      <w:r>
        <w:instrText xml:space="preserve"> FORMTEXT </w:instrText>
      </w:r>
      <w:r>
        <w:fldChar w:fldCharType="separate"/>
      </w:r>
      <w:r>
        <w:rPr>
          <w:rFonts w:hint="eastAsia"/>
        </w:rPr>
        <w:t>江苏省</w:t>
      </w:r>
      <w:r>
        <w:fldChar w:fldCharType="end"/>
      </w:r>
      <w:bookmarkEnd w:id="4"/>
      <w:r>
        <w:rPr>
          <w:rFonts w:hint="eastAsia"/>
        </w:rPr>
        <w:t>地方标准</w:t>
      </w:r>
    </w:p>
    <w:p>
      <w:pPr>
        <w:pStyle w:val="44"/>
        <w:wordWrap w:val="0"/>
        <w:rPr>
          <w:rFonts w:hAnsi="黑体"/>
        </w:rPr>
      </w:pPr>
      <w:r>
        <w:rPr>
          <w:rFonts w:ascii="Times New Roman"/>
        </w:rPr>
        <w:t xml:space="preserve">DB </w:t>
      </w:r>
      <w:r>
        <w:rPr>
          <w:rFonts w:hAnsi="黑体"/>
        </w:rPr>
        <w:fldChar w:fldCharType="begin">
          <w:ffData>
            <w:name w:val="StdNo0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5" w:name="StdNo0"/>
      <w:r>
        <w:rPr>
          <w:rFonts w:hAnsi="黑体"/>
        </w:rPr>
        <w:instrText xml:space="preserve"> FORMTEXT </w:instrText>
      </w:r>
      <w:r>
        <w:rPr>
          <w:rFonts w:hAnsi="黑体"/>
        </w:rPr>
        <w:fldChar w:fldCharType="separate"/>
      </w:r>
      <w:r>
        <w:rPr>
          <w:rFonts w:hint="eastAsia" w:hAnsi="黑体"/>
        </w:rPr>
        <w:t>32</w:t>
      </w:r>
      <w:r>
        <w:rPr>
          <w:rFonts w:hAnsi="黑体"/>
        </w:rPr>
        <w:fldChar w:fldCharType="end"/>
      </w:r>
      <w:bookmarkEnd w:id="5"/>
      <w:r>
        <w:rPr>
          <w:rFonts w:hAnsi="黑体"/>
        </w:rPr>
        <w:t>/</w:t>
      </w:r>
      <w:r>
        <w:rPr>
          <w:rFonts w:hint="eastAsia" w:hAnsi="黑体"/>
        </w:rPr>
        <w:t>T</w:t>
      </w:r>
      <w:r>
        <w:rPr>
          <w:rFonts w:hAnsi="黑体"/>
        </w:rPr>
        <w:t xml:space="preserve"> </w:t>
      </w:r>
      <w:r>
        <w:rPr>
          <w:rFonts w:hint="eastAsia" w:hAnsi="黑体"/>
        </w:rPr>
        <w:t>XXXX</w:t>
      </w:r>
      <w:r>
        <w:rPr>
          <w:rFonts w:hAnsi="黑体"/>
        </w:rPr>
        <w:t>—</w:t>
      </w:r>
      <w:r>
        <w:rPr>
          <w:rFonts w:hAnsi="黑体"/>
        </w:rPr>
        <w:fldChar w:fldCharType="begin">
          <w:ffData>
            <w:name w:val="StdNo2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6" w:name="StdNo2"/>
      <w:r>
        <w:rPr>
          <w:rFonts w:hAnsi="黑体"/>
        </w:rPr>
        <w:instrText xml:space="preserve"> FORMTEXT </w:instrText>
      </w:r>
      <w:r>
        <w:rPr>
          <w:rFonts w:hAnsi="黑体"/>
        </w:rPr>
        <w:fldChar w:fldCharType="separate"/>
      </w:r>
      <w:r>
        <w:rPr>
          <w:rFonts w:hAnsi="黑体"/>
        </w:rPr>
        <w:t>XXXX</w:t>
      </w:r>
      <w:r>
        <w:rPr>
          <w:rFonts w:hAnsi="黑体"/>
        </w:rPr>
        <w:fldChar w:fldCharType="end"/>
      </w:r>
      <w:bookmarkEnd w:id="6"/>
    </w:p>
    <w:tbl>
      <w:tblPr>
        <w:tblStyle w:val="36"/>
        <w:tblW w:w="935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73"/>
            </w:pPr>
            <w:r>
              <w:pict>
                <v:rect id="DT" o:spid="_x0000_s1037" o:spt="1" style="position:absolute;left:0pt;margin-left:372.8pt;margin-top:2.7pt;height:18pt;width:90pt;z-index:-251659264;mso-width-relative:page;mso-height-relative:page;" stroked="f" coordsize="21600,21600">
                  <v:path/>
                  <v:fill focussize="0,0"/>
                  <v:stroke on="f"/>
                  <v:imagedata o:title=""/>
                  <o:lock v:ext="edit"/>
                </v:rect>
              </w:pict>
            </w:r>
            <w:r>
              <w:fldChar w:fldCharType="begin">
                <w:ffData>
                  <w:name w:val="DT"/>
                  <w:enabled/>
                  <w:calcOnExit w:val="0"/>
                  <w:textInput/>
                </w:ffData>
              </w:fldChar>
            </w:r>
            <w:bookmarkStart w:id="7" w:name="DT"/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  <w:bookmarkEnd w:id="7"/>
          </w:p>
        </w:tc>
      </w:tr>
    </w:tbl>
    <w:p>
      <w:pPr>
        <w:pStyle w:val="44"/>
        <w:rPr>
          <w:rFonts w:hAnsi="黑体"/>
        </w:rPr>
      </w:pPr>
    </w:p>
    <w:p>
      <w:pPr>
        <w:pStyle w:val="44"/>
        <w:rPr>
          <w:rFonts w:hAnsi="黑体"/>
        </w:rPr>
      </w:pPr>
    </w:p>
    <w:p>
      <w:pPr>
        <w:pStyle w:val="75"/>
      </w:pPr>
      <w:r>
        <w:fldChar w:fldCharType="begin">
          <w:ffData>
            <w:name w:val="StdName"/>
            <w:enabled/>
            <w:calcOnExit w:val="0"/>
            <w:textInput>
              <w:default w:val="乡镇（街道）公共法律服务中心工作规范     "/>
            </w:textInput>
          </w:ffData>
        </w:fldChar>
      </w:r>
      <w:bookmarkStart w:id="8" w:name="StdName"/>
      <w:r>
        <w:instrText xml:space="preserve"> FORMTEXT </w:instrText>
      </w:r>
      <w:r>
        <w:fldChar w:fldCharType="separate"/>
      </w:r>
      <w:r>
        <w:rPr>
          <w:rFonts w:hint="eastAsia"/>
        </w:rPr>
        <w:t>乡镇（街道）公共法律服务中心</w:t>
      </w:r>
      <w:r>
        <w:rPr>
          <w:rFonts w:hint="eastAsia"/>
          <w:lang w:eastAsia="zh-CN"/>
        </w:rPr>
        <w:t>建设及</w:t>
      </w:r>
      <w:r>
        <w:rPr>
          <w:rFonts w:hint="eastAsia"/>
        </w:rPr>
        <w:t xml:space="preserve">工作规范     </w:t>
      </w:r>
      <w:r>
        <w:fldChar w:fldCharType="end"/>
      </w:r>
      <w:bookmarkEnd w:id="8"/>
    </w:p>
    <w:p>
      <w:pPr>
        <w:pStyle w:val="76"/>
      </w:pPr>
      <w:r>
        <w:fldChar w:fldCharType="begin">
          <w:ffData>
            <w:name w:val="StdEnglishName"/>
            <w:enabled/>
            <w:calcOnExit w:val="0"/>
            <w:textInput>
              <w:default w:val="Specification of town (street) public legal service center"/>
            </w:textInput>
          </w:ffData>
        </w:fldChar>
      </w:r>
      <w:bookmarkStart w:id="9" w:name="StdEnglishName"/>
      <w:r>
        <w:instrText xml:space="preserve"> FORMTEXT </w:instrText>
      </w:r>
      <w:r>
        <w:fldChar w:fldCharType="separate"/>
      </w:r>
      <w:r>
        <w:t xml:space="preserve">Specification </w:t>
      </w:r>
      <w:r>
        <w:rPr>
          <w:rFonts w:hint="eastAsia"/>
          <w:lang w:val="en-US" w:eastAsia="zh-CN"/>
        </w:rPr>
        <w:t xml:space="preserve">for </w:t>
      </w:r>
      <w:r>
        <w:t>construction</w:t>
      </w:r>
      <w:r>
        <w:rPr>
          <w:rFonts w:hint="eastAsia"/>
          <w:lang w:val="en-US" w:eastAsia="zh-CN"/>
        </w:rPr>
        <w:t xml:space="preserve"> and working </w:t>
      </w:r>
      <w:r>
        <w:t>of town (street) public legal service center</w:t>
      </w:r>
      <w:r>
        <w:fldChar w:fldCharType="end"/>
      </w:r>
      <w:bookmarkEnd w:id="9"/>
    </w:p>
    <w:p>
      <w:pPr>
        <w:pStyle w:val="76"/>
      </w:pPr>
    </w:p>
    <w:tbl>
      <w:tblPr>
        <w:tblStyle w:val="36"/>
        <w:tblW w:w="985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78"/>
            </w:pPr>
            <w:r>
              <w:pict>
                <v:rect id="RQ" o:spid="_x0000_s1039" o:spt="1" style="position:absolute;left:0pt;margin-left:173.3pt;margin-top:45.15pt;height:20pt;width:150pt;z-index:-251658240;mso-width-relative:page;mso-height-relative:page;" stroked="f" coordsize="21600,21600">
                  <v:path/>
                  <v:fill focussize="0,0"/>
                  <v:stroke on="f"/>
                  <v:imagedata o:title=""/>
                  <o:lock v:ext="edit"/>
                  <w10:anchorlock/>
                </v:rect>
              </w:pict>
            </w:r>
            <w:r>
              <w:pict>
                <v:rect id="LB" o:spid="_x0000_s1038" o:spt="1" style="position:absolute;left:0pt;margin-left:193.3pt;margin-top:20.15pt;height:24pt;width:100pt;z-index:-251657216;mso-width-relative:page;mso-height-relative:page;" stroked="f" coordsize="21600,21600">
                  <v:path/>
                  <v:fill focussize="0,0"/>
                  <v:stroke on="f"/>
                  <v:imagedata o:title=""/>
                  <o:lock v:ext="edit"/>
                </v:rect>
              </w:pict>
            </w:r>
            <w:bookmarkStart w:id="10" w:name="LB"/>
            <w:r>
              <w:rPr>
                <w:rFonts w:ascii="宋体" w:hAnsi="Times New Roman" w:eastAsia="宋体" w:cs="Times New Roman"/>
                <w:sz w:val="24"/>
                <w:szCs w:val="28"/>
                <w:lang w:val="en-US" w:eastAsia="zh-CN" w:bidi="ar-SA"/>
              </w:rPr>
              <w:fldChar w:fldCharType="begin">
                <w:ffData>
                  <w:name w:val="LB"/>
                  <w:enabled/>
                  <w:calcOnExit w:val="0"/>
                  <w:ddList>
                    <w:result w:val="3"/>
                    <w:listEntry w:val="文稿版次选择"/>
                    <w:listEntry w:val="（工作组讨论稿）"/>
                    <w:listEntry w:val="（征求意见稿）"/>
                    <w:listEntry w:val="（送审讨论稿）"/>
                    <w:listEntry w:val="（送审稿）"/>
                    <w:listEntry w:val="（报批稿）"/>
                  </w:ddList>
                </w:ffData>
              </w:fldChar>
            </w:r>
            <w:r>
              <w:rPr>
                <w:rFonts w:ascii="宋体" w:hAnsi="Times New Roman" w:eastAsia="宋体" w:cs="Times New Roman"/>
                <w:sz w:val="24"/>
                <w:szCs w:val="28"/>
                <w:lang w:val="en-US" w:eastAsia="zh-CN" w:bidi="ar-SA"/>
              </w:rPr>
              <w:instrText xml:space="preserve">FORMDROPDOWN</w:instrText>
            </w:r>
            <w:r>
              <w:rPr>
                <w:rFonts w:ascii="宋体" w:hAnsi="Times New Roman" w:eastAsia="宋体" w:cs="Times New Roman"/>
                <w:sz w:val="24"/>
                <w:szCs w:val="28"/>
                <w:lang w:val="en-US" w:eastAsia="zh-CN" w:bidi="ar-SA"/>
              </w:rPr>
              <w:fldChar w:fldCharType="separate"/>
            </w:r>
            <w:r>
              <w:rPr>
                <w:rFonts w:ascii="宋体" w:hAnsi="Times New Roman" w:eastAsia="宋体" w:cs="Times New Roman"/>
                <w:sz w:val="24"/>
                <w:szCs w:val="28"/>
                <w:lang w:val="en-US" w:eastAsia="zh-CN" w:bidi="ar-SA"/>
              </w:rPr>
              <w:fldChar w:fldCharType="end"/>
            </w:r>
            <w:bookmarkEnd w:id="10"/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79"/>
            </w:pPr>
            <w:bookmarkStart w:id="11" w:name="WCRQ"/>
            <w:r>
              <w:rPr>
                <w:rFonts w:hint="eastAsia" w:ascii="宋体" w:hAnsi="Times New Roman" w:eastAsia="宋体" w:cs="Times New Roman"/>
                <w:sz w:val="21"/>
                <w:szCs w:val="28"/>
                <w:lang w:val="en-US" w:eastAsia="zh-CN" w:bidi="ar-SA"/>
              </w:rPr>
              <w:fldChar w:fldCharType="begin">
                <w:ffData>
                  <w:name w:val="WCRQ"/>
                  <w:enabled/>
                  <w:calcOnExit w:val="0"/>
                  <w:textInput>
                    <w:default w:val="（本稿完成日期：2019.5.5）"/>
                  </w:textInput>
                </w:ffData>
              </w:fldChar>
            </w:r>
            <w:r>
              <w:rPr>
                <w:rFonts w:hint="eastAsia" w:ascii="宋体" w:hAnsi="Times New Roman" w:eastAsia="宋体" w:cs="Times New Roman"/>
                <w:sz w:val="21"/>
                <w:szCs w:val="28"/>
                <w:lang w:val="en-US" w:eastAsia="zh-CN" w:bidi="ar-SA"/>
              </w:rPr>
              <w:instrText xml:space="preserve">FORMTEXT</w:instrText>
            </w:r>
            <w:r>
              <w:rPr>
                <w:rFonts w:hint="eastAsia" w:ascii="宋体" w:hAnsi="Times New Roman" w:eastAsia="宋体" w:cs="Times New Roman"/>
                <w:sz w:val="21"/>
                <w:szCs w:val="28"/>
                <w:lang w:val="en-US" w:eastAsia="zh-CN" w:bidi="ar-SA"/>
              </w:rPr>
              <w:fldChar w:fldCharType="separate"/>
            </w:r>
            <w:r>
              <w:rPr>
                <w:rFonts w:hint="eastAsia" w:ascii="宋体" w:hAnsi="Times New Roman" w:eastAsia="宋体" w:cs="Times New Roman"/>
                <w:sz w:val="21"/>
                <w:szCs w:val="28"/>
                <w:lang w:val="en-US" w:eastAsia="zh-CN" w:bidi="ar-SA"/>
              </w:rPr>
              <w:t>（本稿完成日期：2019.5.</w:t>
            </w:r>
            <w:r>
              <w:rPr>
                <w:rFonts w:hint="eastAsia" w:cs="Times New Roman"/>
                <w:sz w:val="21"/>
                <w:szCs w:val="28"/>
                <w:lang w:val="en-US" w:eastAsia="zh-CN" w:bidi="ar-SA"/>
              </w:rPr>
              <w:t>10</w:t>
            </w:r>
            <w:r>
              <w:rPr>
                <w:rFonts w:hint="eastAsia" w:ascii="宋体" w:hAnsi="Times New Roman" w:eastAsia="宋体" w:cs="Times New Roman"/>
                <w:sz w:val="21"/>
                <w:szCs w:val="28"/>
                <w:lang w:val="en-US" w:eastAsia="zh-CN" w:bidi="ar-SA"/>
              </w:rPr>
              <w:t>）</w:t>
            </w:r>
            <w:r>
              <w:rPr>
                <w:rFonts w:hint="eastAsia" w:ascii="宋体" w:hAnsi="Times New Roman" w:eastAsia="宋体" w:cs="Times New Roman"/>
                <w:sz w:val="21"/>
                <w:szCs w:val="28"/>
                <w:lang w:val="en-US" w:eastAsia="zh-CN" w:bidi="ar-SA"/>
              </w:rPr>
              <w:fldChar w:fldCharType="end"/>
            </w:r>
            <w:bookmarkEnd w:id="11"/>
          </w:p>
        </w:tc>
      </w:tr>
    </w:tbl>
    <w:p>
      <w:pPr>
        <w:pStyle w:val="127"/>
        <w:framePr w:hAnchor="page" w:x="1396" w:y="14056"/>
      </w:pPr>
      <w:r>
        <w:rPr>
          <w:rFonts w:hint="eastAsia" w:ascii="黑体"/>
        </w:rPr>
        <w:t>2019</w:t>
      </w:r>
      <w:r>
        <w:t xml:space="preserve"> </w:t>
      </w:r>
      <w:r>
        <w:rPr>
          <w:rFonts w:ascii="黑体"/>
        </w:rPr>
        <w:t>-</w:t>
      </w:r>
      <w:r>
        <w:t xml:space="preserve"> </w:t>
      </w:r>
      <w:r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  <w:fldChar w:fldCharType="separate"/>
      </w:r>
      <w:r>
        <w:rPr>
          <w:rFonts w:ascii="黑体"/>
        </w:rPr>
        <w:t>XX</w:t>
      </w:r>
      <w:r>
        <w:rPr>
          <w:rFonts w:ascii="黑体"/>
        </w:rPr>
        <w:fldChar w:fldCharType="end"/>
      </w:r>
      <w:r>
        <w:t xml:space="preserve"> </w:t>
      </w:r>
      <w:r>
        <w:rPr>
          <w:rFonts w:ascii="黑体"/>
        </w:rPr>
        <w:t>-</w:t>
      </w:r>
      <w:r>
        <w:t xml:space="preserve"> </w:t>
      </w:r>
      <w:r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12" w:name="FD"/>
      <w:r>
        <w:rPr>
          <w:rFonts w:ascii="黑体"/>
        </w:rPr>
        <w:instrText xml:space="preserve"> FORMTEXT </w:instrText>
      </w:r>
      <w:r>
        <w:rPr>
          <w:rFonts w:ascii="黑体"/>
        </w:rPr>
        <w:fldChar w:fldCharType="separate"/>
      </w:r>
      <w:r>
        <w:rPr>
          <w:rFonts w:ascii="黑体"/>
        </w:rPr>
        <w:t>XX</w:t>
      </w:r>
      <w:r>
        <w:rPr>
          <w:rFonts w:ascii="黑体"/>
        </w:rPr>
        <w:fldChar w:fldCharType="end"/>
      </w:r>
      <w:bookmarkEnd w:id="12"/>
      <w:r>
        <w:rPr>
          <w:rFonts w:hint="eastAsia"/>
        </w:rPr>
        <w:t>发布</w:t>
      </w:r>
      <w:r>
        <w:pict>
          <v:line id="_x0000_s1035" o:spid="_x0000_s1035" o:spt="20" style="position:absolute;left:0pt;margin-left:-7.15pt;margin-top:728.5pt;height:0pt;width:481.9pt;mso-position-vertical-relative:page;z-index:251655168;mso-width-relative:page;mso-height-relative:page;" coordsize="21600,21600">
            <v:path arrowok="t"/>
            <v:fill focussize="0,0"/>
            <v:stroke/>
            <v:imagedata o:title=""/>
            <o:lock v:ext="edit"/>
            <w10:anchorlock/>
          </v:line>
        </w:pict>
      </w:r>
    </w:p>
    <w:p>
      <w:pPr>
        <w:pStyle w:val="128"/>
        <w:framePr w:hAnchor="page" w:x="6946" w:y="14086"/>
      </w:pPr>
      <w:r>
        <w:rPr>
          <w:rFonts w:hint="eastAsia" w:ascii="黑体"/>
        </w:rPr>
        <w:t>2019</w:t>
      </w:r>
      <w:r>
        <w:t xml:space="preserve"> </w:t>
      </w:r>
      <w:r>
        <w:rPr>
          <w:rFonts w:ascii="黑体"/>
        </w:rPr>
        <w:t>-</w:t>
      </w:r>
      <w:r>
        <w:t xml:space="preserve"> </w:t>
      </w:r>
      <w:r>
        <w:rPr>
          <w:rFonts w:ascii="黑体"/>
        </w:rPr>
        <w:fldChar w:fldCharType="begin">
          <w:ffData>
            <w:name w:val="SM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13" w:name="SM"/>
      <w:r>
        <w:rPr>
          <w:rFonts w:ascii="黑体"/>
        </w:rPr>
        <w:instrText xml:space="preserve"> FORMTEXT </w:instrText>
      </w:r>
      <w:r>
        <w:rPr>
          <w:rFonts w:ascii="黑体"/>
        </w:rPr>
        <w:fldChar w:fldCharType="separate"/>
      </w:r>
      <w:r>
        <w:rPr>
          <w:rFonts w:ascii="黑体"/>
        </w:rPr>
        <w:t>XX</w:t>
      </w:r>
      <w:r>
        <w:rPr>
          <w:rFonts w:ascii="黑体"/>
        </w:rPr>
        <w:fldChar w:fldCharType="end"/>
      </w:r>
      <w:bookmarkEnd w:id="13"/>
      <w:r>
        <w:t xml:space="preserve"> </w:t>
      </w:r>
      <w:r>
        <w:rPr>
          <w:rFonts w:ascii="黑体"/>
        </w:rPr>
        <w:t>-</w:t>
      </w:r>
      <w:r>
        <w:t xml:space="preserve"> </w:t>
      </w:r>
      <w:r>
        <w:rPr>
          <w:rFonts w:ascii="黑体"/>
        </w:rPr>
        <w:fldChar w:fldCharType="begin">
          <w:ffData>
            <w:name w:val="SD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14" w:name="SD"/>
      <w:r>
        <w:rPr>
          <w:rFonts w:ascii="黑体"/>
        </w:rPr>
        <w:instrText xml:space="preserve"> FORMTEXT </w:instrText>
      </w:r>
      <w:r>
        <w:rPr>
          <w:rFonts w:ascii="黑体"/>
        </w:rPr>
        <w:fldChar w:fldCharType="separate"/>
      </w:r>
      <w:r>
        <w:rPr>
          <w:rFonts w:ascii="黑体"/>
        </w:rPr>
        <w:t>XX</w:t>
      </w:r>
      <w:r>
        <w:rPr>
          <w:rFonts w:ascii="黑体"/>
        </w:rPr>
        <w:fldChar w:fldCharType="end"/>
      </w:r>
      <w:bookmarkEnd w:id="14"/>
      <w:r>
        <w:rPr>
          <w:rFonts w:hint="eastAsia"/>
        </w:rPr>
        <w:t>实施</w:t>
      </w:r>
    </w:p>
    <w:p>
      <w:pPr>
        <w:pStyle w:val="108"/>
      </w:pPr>
      <w:r>
        <w:rPr>
          <w:rFonts w:hint="eastAsia"/>
        </w:rPr>
        <w:t>江苏省市场监督管理局</w:t>
      </w:r>
      <w:r>
        <w:rPr>
          <w:rFonts w:hint="eastAsia" w:ascii="MS Mincho" w:hAnsi="MS Mincho" w:eastAsia="MS Mincho" w:cs="MS Mincho"/>
        </w:rPr>
        <w:t>   </w:t>
      </w:r>
      <w:r>
        <w:rPr>
          <w:rStyle w:val="70"/>
          <w:rFonts w:hint="eastAsia"/>
        </w:rPr>
        <w:t>发布</w:t>
      </w:r>
    </w:p>
    <w:p>
      <w:pPr>
        <w:pStyle w:val="22"/>
        <w:sectPr>
          <w:pgSz w:w="11906" w:h="16838"/>
          <w:pgMar w:top="567" w:right="850" w:bottom="1134" w:left="1418" w:header="0" w:footer="0" w:gutter="0"/>
          <w:pgNumType w:start="1"/>
          <w:cols w:space="425" w:num="1"/>
          <w:formProt w:val="1"/>
          <w:docGrid w:type="lines" w:linePitch="312" w:charSpace="0"/>
        </w:sectPr>
      </w:pPr>
      <w:r>
        <w:pict>
          <v:line id="_x0000_s1036" o:spid="_x0000_s1036" o:spt="20" style="position:absolute;left:0pt;margin-left:-0.05pt;margin-top:184.25pt;height:0pt;width:481.9pt;z-index:251656192;mso-width-relative:page;mso-height-relative:page;" coordsize="21600,21600">
            <v:path arrowok="t"/>
            <v:fill focussize="0,0"/>
            <v:stroke/>
            <v:imagedata o:title=""/>
            <o:lock v:ext="edit"/>
          </v:line>
        </w:pict>
      </w:r>
    </w:p>
    <w:p>
      <w:pPr>
        <w:pStyle w:val="47"/>
      </w:pPr>
      <w:bookmarkStart w:id="15" w:name="_Toc532824784"/>
      <w:bookmarkStart w:id="16" w:name="_Toc532823781"/>
      <w:bookmarkStart w:id="17" w:name="_Toc532824076"/>
      <w:bookmarkStart w:id="18" w:name="_Toc532824832"/>
      <w:r>
        <w:rPr>
          <w:rFonts w:hint="eastAsia"/>
        </w:rPr>
        <w:t>目</w:t>
      </w:r>
      <w:bookmarkStart w:id="19" w:name="BKML"/>
      <w:r>
        <w:rPr>
          <w:rFonts w:hAnsi="黑体"/>
        </w:rPr>
        <w:t>  </w:t>
      </w:r>
      <w:r>
        <w:rPr>
          <w:rFonts w:hint="eastAsia"/>
        </w:rPr>
        <w:t>次</w:t>
      </w:r>
      <w:bookmarkEnd w:id="19"/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 w:fldLock="1"/>
      </w:r>
      <w:r>
        <w:instrText xml:space="preserve"> </w:instrText>
      </w:r>
      <w:r>
        <w:rPr>
          <w:rFonts w:hint="eastAsia"/>
        </w:rPr>
        <w:instrText xml:space="preserve">TOC \h \z \t"前言、引言标题,1,参考文献、索引标题,1,章标题,1,参考文献,1,附录标识,1" \* MERGEFORMAT</w:instrText>
      </w:r>
      <w:r>
        <w:instrText xml:space="preserve"> </w:instrText>
      </w:r>
      <w:r>
        <w:fldChar w:fldCharType="separate"/>
      </w:r>
      <w:r>
        <w:fldChar w:fldCharType="begin"/>
      </w:r>
      <w:r>
        <w:instrText xml:space="preserve"> HYPERLINK \l "_Toc2769379" </w:instrText>
      </w:r>
      <w:r>
        <w:fldChar w:fldCharType="separate"/>
      </w:r>
      <w:r>
        <w:rPr>
          <w:rStyle w:val="34"/>
          <w:rFonts w:hint="eastAsia"/>
        </w:rPr>
        <w:t>前言</w:t>
      </w:r>
      <w:r>
        <w:tab/>
      </w:r>
      <w:r>
        <w:fldChar w:fldCharType="begin" w:fldLock="1"/>
      </w:r>
      <w:r>
        <w:instrText xml:space="preserve"> PAGEREF _Toc2769379 \h </w:instrText>
      </w:r>
      <w:r>
        <w:fldChar w:fldCharType="separate"/>
      </w:r>
      <w:r>
        <w:t>II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"_Toc2769380" </w:instrText>
      </w:r>
      <w:r>
        <w:fldChar w:fldCharType="separate"/>
      </w:r>
      <w:r>
        <w:rPr>
          <w:rStyle w:val="34"/>
        </w:rPr>
        <w:t>1</w:t>
      </w:r>
      <w:r>
        <w:rPr>
          <w:rStyle w:val="34"/>
          <w:rFonts w:hint="eastAsia"/>
        </w:rPr>
        <w:t>　范围</w:t>
      </w:r>
      <w:r>
        <w:tab/>
      </w:r>
      <w:r>
        <w:fldChar w:fldCharType="begin" w:fldLock="1"/>
      </w:r>
      <w:r>
        <w:instrText xml:space="preserve"> PAGEREF _Toc2769380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"_Toc2769381" </w:instrText>
      </w:r>
      <w:r>
        <w:fldChar w:fldCharType="separate"/>
      </w:r>
      <w:r>
        <w:rPr>
          <w:rStyle w:val="34"/>
        </w:rPr>
        <w:t>2</w:t>
      </w:r>
      <w:r>
        <w:rPr>
          <w:rStyle w:val="34"/>
          <w:rFonts w:hint="eastAsia"/>
        </w:rPr>
        <w:t>　规范性引用文件</w:t>
      </w:r>
      <w:r>
        <w:tab/>
      </w:r>
      <w:r>
        <w:fldChar w:fldCharType="begin" w:fldLock="1"/>
      </w:r>
      <w:r>
        <w:instrText xml:space="preserve"> PAGEREF _Toc2769381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"_Toc2769382" </w:instrText>
      </w:r>
      <w:r>
        <w:fldChar w:fldCharType="separate"/>
      </w:r>
      <w:r>
        <w:rPr>
          <w:rStyle w:val="34"/>
        </w:rPr>
        <w:t>3</w:t>
      </w:r>
      <w:r>
        <w:rPr>
          <w:rStyle w:val="34"/>
          <w:rFonts w:hint="eastAsia"/>
        </w:rPr>
        <w:t>　术语和定义</w:t>
      </w:r>
      <w:r>
        <w:tab/>
      </w:r>
      <w:r>
        <w:fldChar w:fldCharType="begin" w:fldLock="1"/>
      </w:r>
      <w:r>
        <w:instrText xml:space="preserve"> PAGEREF _Toc2769382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"_Toc2769383" </w:instrText>
      </w:r>
      <w:r>
        <w:fldChar w:fldCharType="separate"/>
      </w:r>
      <w:r>
        <w:rPr>
          <w:rStyle w:val="34"/>
        </w:rPr>
        <w:t>4</w:t>
      </w:r>
      <w:r>
        <w:rPr>
          <w:rStyle w:val="34"/>
          <w:rFonts w:hint="eastAsia"/>
        </w:rPr>
        <w:t>　功能设置</w:t>
      </w:r>
      <w:r>
        <w:tab/>
      </w:r>
      <w:r>
        <w:fldChar w:fldCharType="begin" w:fldLock="1"/>
      </w:r>
      <w:r>
        <w:instrText xml:space="preserve"> PAGEREF _Toc2769383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"_Toc2769384" </w:instrText>
      </w:r>
      <w:r>
        <w:fldChar w:fldCharType="separate"/>
      </w:r>
      <w:r>
        <w:rPr>
          <w:rStyle w:val="34"/>
        </w:rPr>
        <w:t>5</w:t>
      </w:r>
      <w:r>
        <w:rPr>
          <w:rStyle w:val="34"/>
          <w:rFonts w:hint="eastAsia"/>
        </w:rPr>
        <w:t>　场所建设</w:t>
      </w:r>
      <w:r>
        <w:tab/>
      </w:r>
      <w:r>
        <w:fldChar w:fldCharType="begin" w:fldLock="1"/>
      </w:r>
      <w:r>
        <w:instrText xml:space="preserve"> PAGEREF _Toc2769384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"_Toc2769385" </w:instrText>
      </w:r>
      <w:r>
        <w:fldChar w:fldCharType="separate"/>
      </w:r>
      <w:r>
        <w:rPr>
          <w:rStyle w:val="34"/>
        </w:rPr>
        <w:t>6</w:t>
      </w:r>
      <w:r>
        <w:rPr>
          <w:rStyle w:val="34"/>
          <w:rFonts w:hint="eastAsia"/>
        </w:rPr>
        <w:t>　岗位</w:t>
      </w:r>
      <w:r>
        <w:rPr>
          <w:rStyle w:val="34"/>
          <w:rFonts w:hint="eastAsia"/>
          <w:lang w:eastAsia="zh-CN"/>
        </w:rPr>
        <w:t>设置与人员</w:t>
      </w:r>
      <w:r>
        <w:rPr>
          <w:rStyle w:val="34"/>
          <w:rFonts w:hint="eastAsia"/>
        </w:rPr>
        <w:t>要求</w:t>
      </w:r>
      <w:r>
        <w:tab/>
      </w:r>
      <w:r>
        <w:fldChar w:fldCharType="begin" w:fldLock="1"/>
      </w:r>
      <w:r>
        <w:instrText xml:space="preserve"> PAGEREF _Toc2769385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"_Toc2769386" </w:instrText>
      </w:r>
      <w:r>
        <w:fldChar w:fldCharType="separate"/>
      </w:r>
      <w:r>
        <w:rPr>
          <w:rStyle w:val="34"/>
        </w:rPr>
        <w:t>7</w:t>
      </w:r>
      <w:r>
        <w:rPr>
          <w:rStyle w:val="34"/>
          <w:rFonts w:hint="eastAsia"/>
        </w:rPr>
        <w:t>　服务规范</w:t>
      </w:r>
      <w:r>
        <w:tab/>
      </w:r>
      <w:r>
        <w:fldChar w:fldCharType="begin" w:fldLock="1"/>
      </w:r>
      <w:r>
        <w:instrText xml:space="preserve"> PAGEREF _Toc2769386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"_Toc2769387" </w:instrText>
      </w:r>
      <w:r>
        <w:fldChar w:fldCharType="separate"/>
      </w:r>
      <w:r>
        <w:rPr>
          <w:rStyle w:val="34"/>
        </w:rPr>
        <w:t>8</w:t>
      </w:r>
      <w:r>
        <w:rPr>
          <w:rStyle w:val="34"/>
          <w:rFonts w:hint="eastAsia"/>
        </w:rPr>
        <w:t>　管理要求</w:t>
      </w:r>
      <w:r>
        <w:tab/>
      </w:r>
      <w:r>
        <w:fldChar w:fldCharType="begin" w:fldLock="1"/>
      </w:r>
      <w:r>
        <w:instrText xml:space="preserve"> PAGEREF _Toc2769387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"_Toc2769388" </w:instrText>
      </w:r>
      <w:r>
        <w:fldChar w:fldCharType="separate"/>
      </w:r>
      <w:r>
        <w:rPr>
          <w:rStyle w:val="34"/>
          <w:rFonts w:hint="eastAsia"/>
        </w:rPr>
        <w:t>附录A（规范性附录）</w:t>
      </w:r>
      <w:r>
        <w:rPr>
          <w:rStyle w:val="34"/>
        </w:rPr>
        <w:t>　</w:t>
      </w:r>
      <w:r>
        <w:rPr>
          <w:rStyle w:val="34"/>
          <w:rFonts w:hint="eastAsia"/>
        </w:rPr>
        <w:t>乡镇</w:t>
      </w:r>
      <w:r>
        <w:rPr>
          <w:rStyle w:val="34"/>
        </w:rPr>
        <w:t>(</w:t>
      </w:r>
      <w:r>
        <w:rPr>
          <w:rStyle w:val="34"/>
          <w:rFonts w:hint="eastAsia"/>
        </w:rPr>
        <w:t>街道</w:t>
      </w:r>
      <w:r>
        <w:rPr>
          <w:rStyle w:val="34"/>
        </w:rPr>
        <w:t>)</w:t>
      </w:r>
      <w:r>
        <w:rPr>
          <w:rStyle w:val="34"/>
          <w:rFonts w:hint="eastAsia"/>
        </w:rPr>
        <w:t>公共法律服务中心服务流程</w:t>
      </w:r>
      <w:r>
        <w:tab/>
      </w:r>
      <w:r>
        <w:fldChar w:fldCharType="begin" w:fldLock="1"/>
      </w:r>
      <w:r>
        <w:instrText xml:space="preserve"> PAGEREF _Toc2769388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18"/>
        <w:spacing w:before="78" w:after="78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"_Toc2769389" </w:instrText>
      </w:r>
      <w:r>
        <w:fldChar w:fldCharType="separate"/>
      </w:r>
      <w:r>
        <w:rPr>
          <w:rStyle w:val="34"/>
          <w:rFonts w:hint="eastAsia"/>
        </w:rPr>
        <w:t>参考文献</w:t>
      </w:r>
      <w:r>
        <w:tab/>
      </w:r>
      <w:r>
        <w:fldChar w:fldCharType="begin" w:fldLock="1"/>
      </w:r>
      <w:r>
        <w:instrText xml:space="preserve"> PAGEREF _Toc2769389 \h 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2"/>
      </w:pPr>
      <w:r>
        <w:fldChar w:fldCharType="end"/>
      </w:r>
    </w:p>
    <w:p>
      <w:pPr>
        <w:pStyle w:val="109"/>
      </w:pPr>
      <w:bookmarkStart w:id="20" w:name="_Toc2769379"/>
      <w:r>
        <w:rPr>
          <w:rFonts w:hint="eastAsia"/>
        </w:rPr>
        <w:t>前</w:t>
      </w:r>
      <w:bookmarkStart w:id="21" w:name="BKQY"/>
      <w:r>
        <w:rPr>
          <w:rFonts w:hAnsi="黑体"/>
        </w:rPr>
        <w:t>  </w:t>
      </w:r>
      <w:r>
        <w:rPr>
          <w:rFonts w:hint="eastAsia"/>
        </w:rPr>
        <w:t>言</w:t>
      </w:r>
      <w:bookmarkEnd w:id="15"/>
      <w:bookmarkEnd w:id="16"/>
      <w:bookmarkEnd w:id="17"/>
      <w:bookmarkEnd w:id="18"/>
      <w:bookmarkEnd w:id="20"/>
      <w:bookmarkEnd w:id="21"/>
    </w:p>
    <w:p>
      <w:pPr>
        <w:pStyle w:val="22"/>
      </w:pPr>
      <w:r>
        <w:rPr>
          <w:rFonts w:hint="eastAsia"/>
        </w:rPr>
        <w:t>本标准按GB/T 1.1</w:t>
      </w:r>
      <w:r>
        <w:rPr>
          <w:rFonts w:hint="eastAsia"/>
          <w:lang w:eastAsia="zh-CN"/>
        </w:rPr>
        <w:t>－</w:t>
      </w:r>
      <w:r>
        <w:rPr>
          <w:rFonts w:hint="eastAsia"/>
        </w:rPr>
        <w:t>2009给出的规则起草。</w:t>
      </w:r>
    </w:p>
    <w:p>
      <w:pPr>
        <w:pStyle w:val="22"/>
      </w:pPr>
      <w:r>
        <w:rPr>
          <w:rFonts w:hint="eastAsia"/>
        </w:rPr>
        <w:t>本标准由江苏省司法厅提出并归口。</w:t>
      </w:r>
    </w:p>
    <w:p>
      <w:pPr>
        <w:pStyle w:val="22"/>
        <w:rPr>
          <w:rFonts w:hint="eastAsia" w:eastAsia="宋体"/>
          <w:lang w:val="en-US" w:eastAsia="zh-CN"/>
        </w:rPr>
      </w:pPr>
      <w:r>
        <w:rPr>
          <w:rFonts w:hint="eastAsia"/>
        </w:rPr>
        <w:t>本标准起草单位:</w:t>
      </w:r>
      <w:r>
        <w:rPr>
          <w:rFonts w:hint="eastAsia"/>
          <w:lang w:val="en-US" w:eastAsia="zh-CN"/>
        </w:rPr>
        <w:t>江苏省司法厅、江苏省质量和标准化研究院。</w:t>
      </w:r>
    </w:p>
    <w:p>
      <w:pPr>
        <w:pStyle w:val="22"/>
        <w:sectPr>
          <w:headerReference r:id="rId3" w:type="default"/>
          <w:footerReference r:id="rId4" w:type="default"/>
          <w:pgSz w:w="11906" w:h="16838"/>
          <w:pgMar w:top="567" w:right="1134" w:bottom="1134" w:left="1418" w:header="1418" w:footer="1134" w:gutter="0"/>
          <w:pgNumType w:fmt="upperRoman" w:start="1"/>
          <w:cols w:space="425" w:num="1"/>
          <w:formProt w:val="0"/>
          <w:docGrid w:type="lines" w:linePitch="312" w:charSpace="0"/>
        </w:sectPr>
      </w:pPr>
      <w:r>
        <w:rPr>
          <w:rFonts w:hint="eastAsia"/>
        </w:rPr>
        <w:t>本标准主要起草人：</w:t>
      </w:r>
    </w:p>
    <w:p>
      <w:pPr>
        <w:pStyle w:val="47"/>
      </w:pPr>
      <w:r>
        <w:rPr>
          <w:rFonts w:hint="eastAsia"/>
        </w:rPr>
        <w:t>乡</w:t>
      </w:r>
      <w:bookmarkStart w:id="22" w:name="StandardName"/>
      <w:r>
        <w:rPr>
          <w:rFonts w:hint="eastAsia"/>
        </w:rPr>
        <w:t>镇（街道）公共法律服务中</w:t>
      </w:r>
      <w:bookmarkStart w:id="153" w:name="_GoBack"/>
      <w:r>
        <w:rPr>
          <w:rFonts w:hint="eastAsia"/>
          <w:color w:val="auto"/>
        </w:rPr>
        <w:t>心</w:t>
      </w:r>
      <w:r>
        <w:rPr>
          <w:rFonts w:hint="eastAsia"/>
          <w:color w:val="auto"/>
          <w:lang w:eastAsia="zh-CN"/>
        </w:rPr>
        <w:t>建设及</w:t>
      </w:r>
      <w:r>
        <w:rPr>
          <w:rFonts w:hint="eastAsia"/>
          <w:color w:val="auto"/>
        </w:rPr>
        <w:t>工作规范</w:t>
      </w:r>
      <w:r>
        <w:rPr>
          <w:color w:val="auto"/>
        </w:rPr>
        <w:t>  </w:t>
      </w:r>
      <w:bookmarkEnd w:id="153"/>
      <w:r>
        <w:t>   </w:t>
      </w:r>
      <w:bookmarkEnd w:id="22"/>
    </w:p>
    <w:p>
      <w:pPr>
        <w:pStyle w:val="42"/>
        <w:spacing w:before="312" w:after="312"/>
      </w:pPr>
      <w:bookmarkStart w:id="23" w:name="_Toc532817537"/>
      <w:bookmarkEnd w:id="23"/>
      <w:bookmarkStart w:id="24" w:name="_Toc532824077"/>
      <w:bookmarkStart w:id="25" w:name="_Toc2769380"/>
      <w:bookmarkStart w:id="26" w:name="_Toc532824833"/>
      <w:bookmarkStart w:id="27" w:name="_Toc532824785"/>
      <w:bookmarkStart w:id="28" w:name="_Toc532823782"/>
      <w:r>
        <w:rPr>
          <w:rFonts w:hint="eastAsia"/>
        </w:rPr>
        <w:t>范围</w:t>
      </w:r>
      <w:bookmarkEnd w:id="24"/>
      <w:bookmarkEnd w:id="25"/>
      <w:bookmarkEnd w:id="26"/>
      <w:bookmarkEnd w:id="27"/>
      <w:bookmarkEnd w:id="28"/>
    </w:p>
    <w:p>
      <w:pPr>
        <w:pStyle w:val="22"/>
      </w:pPr>
      <w:r>
        <w:rPr>
          <w:rFonts w:hint="eastAsia"/>
        </w:rPr>
        <w:t>本标准规定了乡镇（街道）公共法律服务中心（以下简称中心）的功能设置、场所建设、岗位要求、工作规范和管理要求。</w:t>
      </w:r>
    </w:p>
    <w:p>
      <w:pPr>
        <w:pStyle w:val="22"/>
      </w:pPr>
      <w:r>
        <w:rPr>
          <w:rFonts w:hint="eastAsia"/>
        </w:rPr>
        <w:t>本标准适用于乡镇（街道）公共法律服务中心的建设、服务和日常管理。</w:t>
      </w:r>
    </w:p>
    <w:p>
      <w:pPr>
        <w:pStyle w:val="42"/>
        <w:spacing w:before="312" w:after="312"/>
      </w:pPr>
      <w:bookmarkStart w:id="29" w:name="_Toc499824726"/>
      <w:bookmarkStart w:id="30" w:name="_Toc504560813"/>
      <w:bookmarkStart w:id="31" w:name="_Toc520805139"/>
      <w:bookmarkStart w:id="32" w:name="_Toc520806534"/>
      <w:bookmarkStart w:id="33" w:name="_Toc513453972"/>
      <w:bookmarkStart w:id="34" w:name="_Toc521569343"/>
      <w:bookmarkStart w:id="35" w:name="_Toc2769381"/>
      <w:bookmarkStart w:id="36" w:name="_Toc511747579"/>
      <w:bookmarkStart w:id="37" w:name="_Toc520805069"/>
      <w:bookmarkStart w:id="38" w:name="_Toc516652312"/>
      <w:bookmarkStart w:id="39" w:name="_Toc521593920"/>
      <w:bookmarkStart w:id="40" w:name="_Toc510424381"/>
      <w:bookmarkStart w:id="41" w:name="_Toc534385580"/>
      <w:r>
        <w:rPr>
          <w:rFonts w:hint="eastAsia"/>
        </w:rPr>
        <w:t>规范性引用文件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>
      <w:pPr>
        <w:pStyle w:val="22"/>
      </w:pPr>
      <w:r>
        <w:rPr>
          <w:rFonts w:hint="eastAsia"/>
        </w:rPr>
        <w:t>下列文件对于本文件的应用是必不可少的。凡是注日期的引用文件，仅所注日期的版本适用于本文件。凡是不注日期的引用文件，其最新版本（包括所有的修改单）适用于本文件。</w:t>
      </w:r>
    </w:p>
    <w:p>
      <w:pPr>
        <w:pStyle w:val="122"/>
        <w:numPr>
          <w:ilvl w:val="0"/>
          <w:numId w:val="0"/>
        </w:numPr>
        <w:ind w:firstLine="420" w:firstLineChars="200"/>
      </w:pPr>
      <w:r>
        <w:rPr>
          <w:rFonts w:hint="eastAsia"/>
        </w:rPr>
        <w:t>DB32</w:t>
      </w:r>
      <w:r>
        <w:t>/T</w:t>
      </w:r>
      <w:r>
        <w:rPr>
          <w:rFonts w:hint="eastAsia"/>
        </w:rPr>
        <w:t xml:space="preserve"> 3247-2017  司法所建设导则</w:t>
      </w:r>
    </w:p>
    <w:p>
      <w:pPr>
        <w:pStyle w:val="42"/>
        <w:spacing w:before="312" w:after="312"/>
      </w:pPr>
      <w:bookmarkStart w:id="42" w:name="_Toc532823783"/>
      <w:bookmarkStart w:id="43" w:name="_Toc532824078"/>
      <w:bookmarkStart w:id="44" w:name="_Toc466037052"/>
      <w:bookmarkStart w:id="45" w:name="_Toc466036448"/>
      <w:bookmarkStart w:id="46" w:name="_Toc532824786"/>
      <w:bookmarkStart w:id="47" w:name="_Toc532824834"/>
      <w:bookmarkStart w:id="48" w:name="_Toc2769382"/>
      <w:r>
        <w:rPr>
          <w:rFonts w:hint="eastAsia"/>
        </w:rPr>
        <w:t>术语和定义</w:t>
      </w:r>
      <w:bookmarkEnd w:id="42"/>
      <w:bookmarkEnd w:id="43"/>
      <w:bookmarkEnd w:id="44"/>
      <w:bookmarkEnd w:id="45"/>
      <w:bookmarkEnd w:id="46"/>
      <w:bookmarkEnd w:id="47"/>
      <w:bookmarkEnd w:id="48"/>
    </w:p>
    <w:p>
      <w:pPr>
        <w:pStyle w:val="22"/>
      </w:pPr>
      <w:bookmarkStart w:id="49" w:name="_Toc466036449"/>
      <w:bookmarkStart w:id="50" w:name="_Toc466037053"/>
      <w:r>
        <w:rPr>
          <w:rFonts w:hint="eastAsia"/>
        </w:rPr>
        <w:t>下列术语和定义适用于本文件。</w:t>
      </w:r>
      <w:bookmarkEnd w:id="49"/>
      <w:bookmarkEnd w:id="50"/>
    </w:p>
    <w:p>
      <w:pPr>
        <w:pStyle w:val="39"/>
        <w:spacing w:before="156" w:after="156"/>
      </w:pPr>
      <w:bookmarkStart w:id="51" w:name="_Toc460941143"/>
      <w:bookmarkEnd w:id="51"/>
      <w:bookmarkStart w:id="52" w:name="_Toc532823784"/>
      <w:bookmarkStart w:id="53" w:name="_Toc532824079"/>
    </w:p>
    <w:p>
      <w:pPr>
        <w:pStyle w:val="39"/>
        <w:numPr>
          <w:ilvl w:val="0"/>
          <w:numId w:val="0"/>
        </w:numPr>
        <w:spacing w:before="156" w:after="156"/>
        <w:ind w:firstLine="420" w:firstLineChars="200"/>
      </w:pPr>
      <w:r>
        <w:rPr>
          <w:rFonts w:hint="eastAsia"/>
        </w:rPr>
        <w:t>公共法律服务中心 p</w:t>
      </w:r>
      <w:r>
        <w:t>ublic legal service center</w:t>
      </w:r>
    </w:p>
    <w:p>
      <w:pPr>
        <w:pStyle w:val="22"/>
      </w:pPr>
      <w:bookmarkStart w:id="54" w:name="_Toc460941193"/>
      <w:bookmarkStart w:id="55" w:name="_Toc460941144"/>
      <w:r>
        <w:rPr>
          <w:rFonts w:hint="eastAsia"/>
        </w:rPr>
        <w:t>由政府主导，司法行政机关统筹管理，汇聚专业法律服务资源，为城乡居民、法人和其他社会组织提供法律咨询、法治宣传、纠纷调解、法律援助，以及有关法律需求与事项的咨询、指引、帮助的综合服务平台。</w:t>
      </w:r>
    </w:p>
    <w:bookmarkEnd w:id="54"/>
    <w:bookmarkEnd w:id="55"/>
    <w:p>
      <w:pPr>
        <w:pStyle w:val="42"/>
        <w:spacing w:before="312" w:after="312"/>
        <w:rPr>
          <w:color w:val="auto"/>
        </w:rPr>
      </w:pPr>
      <w:bookmarkStart w:id="56" w:name="_Toc532824787"/>
      <w:bookmarkStart w:id="57" w:name="_Toc532824835"/>
      <w:bookmarkStart w:id="58" w:name="_Toc2769383"/>
      <w:r>
        <w:rPr>
          <w:rFonts w:hint="eastAsia"/>
          <w:color w:val="auto"/>
        </w:rPr>
        <w:t>功能设置</w:t>
      </w:r>
      <w:bookmarkEnd w:id="52"/>
      <w:bookmarkEnd w:id="53"/>
      <w:bookmarkEnd w:id="56"/>
      <w:bookmarkEnd w:id="57"/>
      <w:bookmarkEnd w:id="58"/>
    </w:p>
    <w:p>
      <w:pPr>
        <w:pStyle w:val="39"/>
        <w:spacing w:beforeLines="0" w:afterLines="0"/>
        <w:rPr>
          <w:rFonts w:ascii="宋体" w:hAnsi="宋体" w:eastAsia="宋体"/>
          <w:color w:val="auto"/>
        </w:rPr>
      </w:pPr>
      <w:r>
        <w:rPr>
          <w:rFonts w:hint="eastAsia" w:ascii="宋体" w:hAnsi="宋体" w:eastAsia="宋体"/>
          <w:color w:val="auto"/>
        </w:rPr>
        <w:t>为辖区</w:t>
      </w:r>
      <w:r>
        <w:rPr>
          <w:rFonts w:hint="eastAsia" w:ascii="宋体" w:hAnsi="宋体" w:eastAsia="宋体"/>
          <w:color w:val="auto"/>
          <w:lang w:eastAsia="zh-CN"/>
        </w:rPr>
        <w:t>公民、法人和社会组织</w:t>
      </w:r>
      <w:r>
        <w:rPr>
          <w:rFonts w:hint="eastAsia" w:ascii="宋体" w:hAnsi="宋体" w:eastAsia="宋体"/>
          <w:color w:val="auto"/>
        </w:rPr>
        <w:t>提供法律咨询、纠纷调解、法治宣传、部分法律援助服务以及公证、司法鉴定、仲裁、后续照管、特殊人群管理等指引服务。</w:t>
      </w:r>
    </w:p>
    <w:p>
      <w:pPr>
        <w:pStyle w:val="39"/>
        <w:spacing w:beforeLines="0" w:afterLines="0"/>
        <w:rPr>
          <w:rFonts w:ascii="宋体" w:hAnsi="宋体" w:eastAsia="宋体"/>
          <w:color w:val="auto"/>
        </w:rPr>
      </w:pPr>
      <w:r>
        <w:rPr>
          <w:rFonts w:hint="eastAsia" w:ascii="宋体" w:hAnsi="宋体" w:eastAsia="宋体"/>
          <w:color w:val="auto"/>
        </w:rPr>
        <w:t>收集、研判法律服务需求信息，发布公共法律服务资讯。</w:t>
      </w:r>
    </w:p>
    <w:p>
      <w:pPr>
        <w:pStyle w:val="39"/>
        <w:spacing w:beforeLines="0" w:afterLines="0"/>
        <w:rPr>
          <w:rFonts w:ascii="宋体" w:hAnsi="宋体" w:eastAsia="宋体"/>
          <w:color w:val="auto"/>
        </w:rPr>
      </w:pPr>
      <w:r>
        <w:rPr>
          <w:rFonts w:hint="eastAsia" w:ascii="宋体" w:hAnsi="宋体" w:eastAsia="宋体"/>
          <w:color w:val="auto"/>
        </w:rPr>
        <w:t>公共法律服务事项的受理、分流、协调处理和回访等。</w:t>
      </w:r>
    </w:p>
    <w:p>
      <w:pPr>
        <w:pStyle w:val="39"/>
        <w:spacing w:beforeLines="0" w:afterLines="0"/>
        <w:rPr>
          <w:rFonts w:ascii="宋体" w:hAnsi="宋体" w:eastAsia="宋体"/>
          <w:color w:val="auto"/>
        </w:rPr>
      </w:pPr>
      <w:r>
        <w:rPr>
          <w:rFonts w:hint="eastAsia" w:ascii="宋体" w:hAnsi="宋体" w:eastAsia="宋体"/>
          <w:color w:val="auto"/>
        </w:rPr>
        <w:t>协调其他社会公共服务机构，参与公共法律服务。</w:t>
      </w:r>
    </w:p>
    <w:p>
      <w:pPr>
        <w:pStyle w:val="39"/>
        <w:spacing w:beforeLines="0" w:afterLines="0"/>
        <w:rPr>
          <w:rFonts w:ascii="宋体" w:hAnsi="宋体" w:eastAsia="宋体"/>
          <w:color w:val="auto"/>
        </w:rPr>
      </w:pPr>
      <w:r>
        <w:rPr>
          <w:rFonts w:hint="eastAsia" w:ascii="宋体" w:hAnsi="宋体" w:eastAsia="宋体"/>
          <w:color w:val="auto"/>
        </w:rPr>
        <w:t>指导、</w:t>
      </w:r>
      <w:r>
        <w:rPr>
          <w:rFonts w:hint="eastAsia" w:ascii="宋体" w:hAnsi="宋体" w:eastAsia="宋体"/>
          <w:color w:val="auto"/>
          <w:lang w:eastAsia="zh-CN"/>
        </w:rPr>
        <w:t>评价</w:t>
      </w:r>
      <w:r>
        <w:rPr>
          <w:rFonts w:hint="eastAsia" w:ascii="宋体" w:hAnsi="宋体" w:eastAsia="宋体"/>
          <w:color w:val="auto"/>
        </w:rPr>
        <w:t>村（社区）司法行政服务站公共法律服务工作，指导和参与</w:t>
      </w:r>
      <w:r>
        <w:rPr>
          <w:rFonts w:hint="eastAsia" w:ascii="宋体" w:hAnsi="宋体" w:eastAsia="宋体"/>
          <w:color w:val="auto"/>
          <w:lang w:eastAsia="zh-CN"/>
        </w:rPr>
        <w:t>评价</w:t>
      </w:r>
      <w:r>
        <w:rPr>
          <w:rFonts w:hint="eastAsia" w:ascii="宋体" w:hAnsi="宋体" w:eastAsia="宋体"/>
          <w:color w:val="auto"/>
        </w:rPr>
        <w:t>村（社区）法律顾问工作。</w:t>
      </w:r>
    </w:p>
    <w:p>
      <w:pPr>
        <w:pStyle w:val="42"/>
        <w:spacing w:before="312" w:after="312"/>
        <w:rPr>
          <w:color w:val="auto"/>
        </w:rPr>
      </w:pPr>
      <w:bookmarkStart w:id="59" w:name="_Toc532823785"/>
      <w:bookmarkStart w:id="60" w:name="_Toc532824080"/>
      <w:bookmarkStart w:id="61" w:name="_Toc532824788"/>
      <w:bookmarkStart w:id="62" w:name="_Toc532824836"/>
      <w:bookmarkStart w:id="63" w:name="_Toc2769384"/>
      <w:r>
        <w:rPr>
          <w:rFonts w:hint="eastAsia"/>
          <w:color w:val="auto"/>
        </w:rPr>
        <w:t>场所建设</w:t>
      </w:r>
      <w:bookmarkEnd w:id="59"/>
      <w:bookmarkEnd w:id="60"/>
      <w:bookmarkEnd w:id="61"/>
      <w:bookmarkEnd w:id="62"/>
      <w:bookmarkEnd w:id="63"/>
    </w:p>
    <w:p>
      <w:pPr>
        <w:pStyle w:val="39"/>
        <w:spacing w:before="156" w:after="156"/>
      </w:pPr>
      <w:r>
        <w:rPr>
          <w:rFonts w:hint="eastAsia"/>
        </w:rPr>
        <w:t>场所</w:t>
      </w:r>
    </w:p>
    <w:p>
      <w:pPr>
        <w:pStyle w:val="60"/>
        <w:spacing w:before="0" w:after="0"/>
      </w:pPr>
      <w:r>
        <w:rPr>
          <w:rFonts w:hint="eastAsia"/>
        </w:rPr>
        <w:t>临街落地、交通便利，便于群众识别。</w:t>
      </w:r>
    </w:p>
    <w:p>
      <w:pPr>
        <w:pStyle w:val="60"/>
        <w:spacing w:before="0" w:after="0"/>
      </w:pPr>
      <w:r>
        <w:rPr>
          <w:rFonts w:hint="eastAsia"/>
        </w:rPr>
        <w:t>设置固定的服务场所</w:t>
      </w:r>
      <w:r>
        <w:rPr>
          <w:rFonts w:hint="eastAsia"/>
          <w:color w:val="auto"/>
        </w:rPr>
        <w:t>，其面积应</w:t>
      </w:r>
      <w:r>
        <w:rPr>
          <w:rFonts w:hint="eastAsia"/>
          <w:color w:val="auto"/>
          <w:lang w:eastAsia="zh-CN"/>
        </w:rPr>
        <w:t>不少于</w:t>
      </w:r>
      <w:r>
        <w:rPr>
          <w:rFonts w:hint="eastAsia"/>
          <w:color w:val="auto"/>
          <w:lang w:val="en-US" w:eastAsia="zh-CN"/>
        </w:rPr>
        <w:t>50</w:t>
      </w:r>
      <w:r>
        <w:rPr>
          <w:rFonts w:hint="eastAsia"/>
          <w:color w:val="auto"/>
          <w:lang w:eastAsia="zh-CN"/>
        </w:rPr>
        <w:t>m²。</w:t>
      </w:r>
    </w:p>
    <w:p>
      <w:pPr>
        <w:pStyle w:val="60"/>
        <w:spacing w:before="0" w:after="0"/>
      </w:pPr>
      <w:r>
        <w:rPr>
          <w:rFonts w:hint="eastAsia"/>
        </w:rPr>
        <w:t>设置开放式服务大厅，设置法律咨询、纠纷调解、综合接待服务窗口。有条件的地区宜设置服务区、办公区和等候区。</w:t>
      </w:r>
      <w:r>
        <w:t xml:space="preserve"> </w:t>
      </w:r>
    </w:p>
    <w:p>
      <w:pPr>
        <w:pStyle w:val="39"/>
        <w:spacing w:before="156" w:after="156"/>
      </w:pPr>
      <w:bookmarkStart w:id="64" w:name="_Toc460941146"/>
      <w:r>
        <w:rPr>
          <w:rFonts w:hint="eastAsia"/>
        </w:rPr>
        <w:t>名称</w:t>
      </w:r>
      <w:bookmarkEnd w:id="64"/>
    </w:p>
    <w:p>
      <w:pPr>
        <w:pStyle w:val="22"/>
      </w:pPr>
      <w:r>
        <w:rPr>
          <w:rFonts w:hint="eastAsia"/>
        </w:rPr>
        <w:t>XX乡镇（街道）公共法律服务中心。</w:t>
      </w:r>
    </w:p>
    <w:p>
      <w:pPr>
        <w:pStyle w:val="39"/>
        <w:spacing w:before="156" w:after="156"/>
      </w:pPr>
      <w:r>
        <w:rPr>
          <w:rFonts w:hint="eastAsia"/>
        </w:rPr>
        <w:t>标识标</w:t>
      </w:r>
      <w:r>
        <w:rPr>
          <w:rFonts w:hint="eastAsia" w:hAnsi="黑体"/>
        </w:rPr>
        <w:t>牌</w:t>
      </w:r>
    </w:p>
    <w:p>
      <w:pPr>
        <w:pStyle w:val="60"/>
        <w:spacing w:before="0" w:after="0"/>
      </w:pPr>
      <w:r>
        <w:rPr>
          <w:rFonts w:hint="eastAsia"/>
        </w:rPr>
        <w:t>在大厅正门上方设置“XX乡镇（街道）公共法律服务中心”标识，或在正门</w:t>
      </w:r>
      <w:r>
        <w:rPr>
          <w:rFonts w:hint="eastAsia"/>
          <w:color w:val="FF0000"/>
          <w:lang w:eastAsia="zh-CN"/>
        </w:rPr>
        <w:t>两</w:t>
      </w:r>
      <w:r>
        <w:rPr>
          <w:rFonts w:hint="eastAsia"/>
        </w:rPr>
        <w:t>侧悬挂“XX乡镇（街道）公共法律服务中心”标牌。标识标牌样式应符合DB32/T 3247－2017中7.6的要求。</w:t>
      </w:r>
    </w:p>
    <w:p>
      <w:pPr>
        <w:pStyle w:val="60"/>
        <w:spacing w:before="0" w:after="0"/>
      </w:pPr>
      <w:bookmarkStart w:id="65" w:name="_Toc460941165"/>
      <w:bookmarkStart w:id="66" w:name="_Toc460941197"/>
      <w:r>
        <w:rPr>
          <w:rFonts w:hint="eastAsia"/>
        </w:rPr>
        <w:t>在服务场所显著位置设置司法行政徽章和统一的“12348”标识。</w:t>
      </w:r>
    </w:p>
    <w:p>
      <w:pPr>
        <w:pStyle w:val="60"/>
        <w:spacing w:before="0" w:after="0"/>
      </w:pPr>
      <w:r>
        <w:rPr>
          <w:rFonts w:hint="eastAsia"/>
        </w:rPr>
        <w:t>在服务窗口上方悬挂或通过电子屏显示或在柜台桌面摆放“法律咨询”“纠纷调解”“综合接待”等标牌。</w:t>
      </w:r>
    </w:p>
    <w:p>
      <w:pPr>
        <w:pStyle w:val="60"/>
        <w:spacing w:before="0" w:after="0"/>
      </w:pPr>
      <w:r>
        <w:rPr>
          <w:rFonts w:hint="eastAsia"/>
        </w:rPr>
        <w:t>标识、公示牌的设置，应做到规范、整齐、简洁、醒目，版面应统一使用司法行政徽章。</w:t>
      </w:r>
    </w:p>
    <w:p>
      <w:pPr>
        <w:pStyle w:val="39"/>
        <w:spacing w:before="156" w:after="156"/>
      </w:pPr>
      <w:r>
        <w:rPr>
          <w:rFonts w:hint="eastAsia"/>
        </w:rPr>
        <w:t>通讯网络</w:t>
      </w:r>
    </w:p>
    <w:p>
      <w:pPr>
        <w:pStyle w:val="60"/>
        <w:spacing w:before="0" w:after="0"/>
      </w:pPr>
      <w:r>
        <w:rPr>
          <w:rFonts w:hint="eastAsia"/>
        </w:rPr>
        <w:t>通讯网络设置应符合省司法行政信息网络一体化智能平台建设要求，实现公共法律服务网络平台与实体平台有机融合。</w:t>
      </w:r>
    </w:p>
    <w:p>
      <w:pPr>
        <w:pStyle w:val="60"/>
        <w:spacing w:before="0" w:after="0"/>
      </w:pPr>
      <w:r>
        <w:rPr>
          <w:rFonts w:hint="eastAsia"/>
        </w:rPr>
        <w:t xml:space="preserve">开通服务电话，有条件的地区宜开设远程视频系统。 </w:t>
      </w:r>
    </w:p>
    <w:p>
      <w:pPr>
        <w:pStyle w:val="39"/>
        <w:spacing w:before="156" w:after="156"/>
      </w:pPr>
      <w:r>
        <w:rPr>
          <w:rFonts w:hint="eastAsia"/>
        </w:rPr>
        <w:t>设施设备</w:t>
      </w:r>
      <w:bookmarkEnd w:id="65"/>
      <w:bookmarkEnd w:id="66"/>
    </w:p>
    <w:p>
      <w:pPr>
        <w:pStyle w:val="60"/>
        <w:spacing w:before="0" w:after="0"/>
      </w:pPr>
      <w:bookmarkStart w:id="67" w:name="_Toc460941166"/>
      <w:r>
        <w:rPr>
          <w:rFonts w:hint="eastAsia"/>
        </w:rPr>
        <w:t>配备满足办公需求的电脑、传真机、复印机、扫描仪、电话机、档案柜等办公设备。</w:t>
      </w:r>
      <w:bookmarkEnd w:id="67"/>
    </w:p>
    <w:p>
      <w:pPr>
        <w:pStyle w:val="60"/>
        <w:spacing w:before="0" w:after="0"/>
      </w:pPr>
      <w:bookmarkStart w:id="68" w:name="_Toc460941168"/>
      <w:r>
        <w:rPr>
          <w:rFonts w:hint="eastAsia"/>
        </w:rPr>
        <w:t>配备电子触摸屏等自助查询设备。</w:t>
      </w:r>
      <w:bookmarkEnd w:id="68"/>
    </w:p>
    <w:p>
      <w:pPr>
        <w:pStyle w:val="60"/>
        <w:spacing w:before="0" w:after="0"/>
      </w:pPr>
      <w:bookmarkStart w:id="69" w:name="_Toc460941169"/>
      <w:r>
        <w:rPr>
          <w:rFonts w:hint="eastAsia"/>
        </w:rPr>
        <w:t>配备便民桌椅，并提供笔、老花眼镜、饮用水等。</w:t>
      </w:r>
      <w:bookmarkEnd w:id="69"/>
    </w:p>
    <w:p>
      <w:pPr>
        <w:pStyle w:val="60"/>
        <w:spacing w:before="0" w:after="0"/>
      </w:pPr>
      <w:bookmarkStart w:id="70" w:name="_Toc460941170"/>
      <w:r>
        <w:rPr>
          <w:rFonts w:hint="eastAsia"/>
        </w:rPr>
        <w:t>设置残疾人无障碍通道和设施。</w:t>
      </w:r>
      <w:bookmarkEnd w:id="70"/>
    </w:p>
    <w:p>
      <w:pPr>
        <w:pStyle w:val="60"/>
        <w:spacing w:before="0" w:after="0"/>
      </w:pPr>
      <w:bookmarkStart w:id="71" w:name="_Toc460941171"/>
      <w:r>
        <w:rPr>
          <w:rFonts w:hint="eastAsia"/>
        </w:rPr>
        <w:t>配备宣传资料存取栏、意见箱</w:t>
      </w:r>
      <w:bookmarkEnd w:id="71"/>
      <w:r>
        <w:rPr>
          <w:rFonts w:hint="eastAsia"/>
        </w:rPr>
        <w:t>，设置公示栏，公示内容包括服务事项、办事流程、服务人员信息等。</w:t>
      </w:r>
    </w:p>
    <w:p>
      <w:pPr>
        <w:pStyle w:val="60"/>
        <w:spacing w:before="0" w:after="0"/>
      </w:pPr>
      <w:r>
        <w:rPr>
          <w:rFonts w:hint="eastAsia"/>
        </w:rPr>
        <w:t>设置区域范围法律服务导引指示栏，根据场地实际情况，采取上墙或电子显示屏等形式。</w:t>
      </w:r>
    </w:p>
    <w:p>
      <w:pPr>
        <w:pStyle w:val="42"/>
        <w:spacing w:before="312" w:after="312"/>
      </w:pPr>
      <w:bookmarkStart w:id="72" w:name="_Toc532823786"/>
      <w:bookmarkStart w:id="73" w:name="_Toc532824081"/>
      <w:bookmarkStart w:id="74" w:name="_Toc532824789"/>
      <w:bookmarkStart w:id="75" w:name="_Toc532824837"/>
      <w:bookmarkStart w:id="76" w:name="_Toc2769385"/>
      <w:r>
        <w:rPr>
          <w:rFonts w:hint="eastAsia"/>
        </w:rPr>
        <w:t>岗位</w:t>
      </w:r>
      <w:bookmarkEnd w:id="72"/>
      <w:bookmarkEnd w:id="73"/>
      <w:bookmarkEnd w:id="74"/>
      <w:bookmarkEnd w:id="75"/>
      <w:bookmarkEnd w:id="76"/>
      <w:r>
        <w:rPr>
          <w:rFonts w:hint="eastAsia"/>
          <w:lang w:eastAsia="zh-CN"/>
        </w:rPr>
        <w:t>设置与人员要求</w:t>
      </w:r>
    </w:p>
    <w:p>
      <w:pPr>
        <w:pStyle w:val="39"/>
        <w:spacing w:before="156" w:after="156"/>
      </w:pPr>
      <w:bookmarkStart w:id="77" w:name="_Toc460941163"/>
      <w:r>
        <w:rPr>
          <w:rFonts w:hint="eastAsia"/>
        </w:rPr>
        <w:t>岗位设置</w:t>
      </w:r>
      <w:bookmarkEnd w:id="77"/>
    </w:p>
    <w:p>
      <w:pPr>
        <w:pStyle w:val="110"/>
        <w:numPr>
          <w:ilvl w:val="0"/>
          <w:numId w:val="0"/>
        </w:numPr>
        <w:ind w:firstLine="420" w:firstLineChars="200"/>
      </w:pPr>
      <w:r>
        <w:rPr>
          <w:rFonts w:hint="eastAsia"/>
        </w:rPr>
        <w:t>应设置指挥管理岗和窗口服务岗。</w:t>
      </w:r>
      <w:bookmarkStart w:id="78" w:name="_Toc460941164"/>
      <w:r>
        <w:rPr>
          <w:rFonts w:hint="eastAsia"/>
        </w:rPr>
        <w:t>其中窗口服务岗应分设法律咨询、纠纷调解、综合接待等服务岗位。</w:t>
      </w:r>
    </w:p>
    <w:p>
      <w:pPr>
        <w:pStyle w:val="39"/>
        <w:spacing w:before="156" w:after="156"/>
      </w:pPr>
      <w:r>
        <w:rPr>
          <w:rFonts w:hint="eastAsia"/>
        </w:rPr>
        <w:t>岗位要求</w:t>
      </w:r>
      <w:bookmarkEnd w:id="78"/>
    </w:p>
    <w:p>
      <w:pPr>
        <w:pStyle w:val="43"/>
        <w:spacing w:before="156" w:after="156"/>
      </w:pPr>
      <w:r>
        <w:rPr>
          <w:rFonts w:hint="eastAsia"/>
        </w:rPr>
        <w:t xml:space="preserve">指挥管理岗 </w:t>
      </w:r>
    </w:p>
    <w:p>
      <w:pPr>
        <w:pStyle w:val="110"/>
        <w:spacing w:before="0" w:after="0"/>
      </w:pPr>
      <w:r>
        <w:rPr>
          <w:rFonts w:hint="eastAsia"/>
        </w:rPr>
        <w:t>负责中心日常管理，履行指挥、协调、监督职责。</w:t>
      </w:r>
    </w:p>
    <w:p>
      <w:pPr>
        <w:pStyle w:val="110"/>
        <w:spacing w:before="0" w:after="0"/>
      </w:pPr>
      <w:r>
        <w:rPr>
          <w:rFonts w:hint="eastAsia"/>
        </w:rPr>
        <w:t>设主任1名，由司法所负责人担任。</w:t>
      </w:r>
    </w:p>
    <w:p>
      <w:pPr>
        <w:pStyle w:val="110"/>
        <w:spacing w:before="0" w:after="0"/>
      </w:pPr>
      <w:r>
        <w:rPr>
          <w:rFonts w:hint="eastAsia"/>
        </w:rPr>
        <w:t>工作人员应具有较强的联系、沟通、协调和管理能力。</w:t>
      </w:r>
    </w:p>
    <w:p>
      <w:pPr>
        <w:pStyle w:val="43"/>
        <w:spacing w:before="156" w:after="156"/>
      </w:pPr>
      <w:r>
        <w:rPr>
          <w:rFonts w:hint="eastAsia"/>
        </w:rPr>
        <w:t>窗口服务岗</w:t>
      </w:r>
    </w:p>
    <w:p>
      <w:pPr>
        <w:pStyle w:val="110"/>
        <w:spacing w:before="0" w:after="0"/>
        <w:rPr>
          <w:color w:val="auto"/>
        </w:rPr>
      </w:pPr>
      <w:r>
        <w:rPr>
          <w:rFonts w:hint="eastAsia"/>
          <w:color w:val="auto"/>
          <w:lang w:val="en-US" w:eastAsia="zh-CN"/>
        </w:rPr>
        <w:t>法律咨询岗人员</w:t>
      </w:r>
      <w:r>
        <w:rPr>
          <w:rFonts w:hint="eastAsia"/>
          <w:color w:val="auto"/>
        </w:rPr>
        <w:t>应熟悉法律法规、国家政策，公证、司法鉴定、法律援助办理条件和程序以及法律服务工作标准，具有较高的政策水平和较强的业务能力。</w:t>
      </w:r>
      <w:r>
        <w:rPr>
          <w:rFonts w:hint="eastAsia"/>
          <w:color w:val="auto"/>
          <w:lang w:val="en-US" w:eastAsia="zh-CN"/>
        </w:rPr>
        <w:t>法律咨询岗由</w:t>
      </w:r>
      <w:r>
        <w:rPr>
          <w:rFonts w:hint="eastAsia"/>
          <w:color w:val="auto"/>
        </w:rPr>
        <w:t>值班律师、公证员、基层法律服务工作者、法律志愿者、有关社会组织工作者等法律服务专业人员</w:t>
      </w:r>
      <w:r>
        <w:rPr>
          <w:rFonts w:hint="eastAsia"/>
          <w:color w:val="auto"/>
          <w:lang w:val="en-US" w:eastAsia="zh-CN"/>
        </w:rPr>
        <w:t>担任。主要承担法律事项的咨询、指引、帮助等服务职责</w:t>
      </w:r>
      <w:r>
        <w:rPr>
          <w:rFonts w:hint="eastAsia"/>
          <w:color w:val="auto"/>
        </w:rPr>
        <w:t>。</w:t>
      </w:r>
    </w:p>
    <w:p>
      <w:pPr>
        <w:pStyle w:val="110"/>
        <w:spacing w:before="0" w:after="0"/>
        <w:rPr>
          <w:color w:val="auto"/>
        </w:rPr>
      </w:pPr>
      <w:r>
        <w:rPr>
          <w:rFonts w:hint="eastAsia"/>
          <w:color w:val="auto"/>
        </w:rPr>
        <w:t>纠纷调解岗</w:t>
      </w:r>
      <w:r>
        <w:rPr>
          <w:rFonts w:hint="eastAsia"/>
          <w:color w:val="auto"/>
          <w:lang w:val="en-US" w:eastAsia="zh-CN"/>
        </w:rPr>
        <w:t>人员</w:t>
      </w:r>
      <w:r>
        <w:rPr>
          <w:rFonts w:hint="eastAsia"/>
          <w:color w:val="auto"/>
        </w:rPr>
        <w:t>应熟悉矛盾纠纷调解业务，具有较强的沟通、协调能力。</w:t>
      </w:r>
      <w:r>
        <w:rPr>
          <w:rFonts w:hint="eastAsia"/>
          <w:color w:val="auto"/>
          <w:lang w:val="en-US" w:eastAsia="zh-CN"/>
        </w:rPr>
        <w:t>纠纷调解岗</w:t>
      </w:r>
      <w:r>
        <w:rPr>
          <w:rFonts w:hint="eastAsia"/>
          <w:color w:val="auto"/>
        </w:rPr>
        <w:t>由司法所工作人员、人民调解委员会成员、专兼职调解员担任。主要承担一般性矛盾纠纷调解等服务职责。。</w:t>
      </w:r>
    </w:p>
    <w:p>
      <w:pPr>
        <w:pStyle w:val="110"/>
        <w:spacing w:before="0" w:after="0"/>
        <w:rPr>
          <w:color w:val="auto"/>
        </w:rPr>
      </w:pPr>
      <w:r>
        <w:rPr>
          <w:rFonts w:hint="eastAsia"/>
          <w:color w:val="auto"/>
        </w:rPr>
        <w:t>综合接待岗</w:t>
      </w:r>
      <w:r>
        <w:rPr>
          <w:rFonts w:hint="eastAsia"/>
          <w:color w:val="auto"/>
          <w:lang w:val="en-US" w:eastAsia="zh-CN"/>
        </w:rPr>
        <w:t>人员</w:t>
      </w:r>
      <w:r>
        <w:rPr>
          <w:rFonts w:hint="eastAsia"/>
          <w:color w:val="auto"/>
        </w:rPr>
        <w:t>应熟悉法律法规和司法行政业务规范，具有较高的政策水平和较强的业务能力。</w:t>
      </w:r>
      <w:r>
        <w:rPr>
          <w:rFonts w:hint="eastAsia"/>
          <w:color w:val="auto"/>
          <w:lang w:val="en-US" w:eastAsia="zh-CN"/>
        </w:rPr>
        <w:t>综合接待岗</w:t>
      </w:r>
      <w:r>
        <w:rPr>
          <w:rFonts w:hint="eastAsia"/>
          <w:color w:val="auto"/>
        </w:rPr>
        <w:t>由司法所工作人员担任。主要承担除法律咨询和纠纷调解之外的咨询接待。</w:t>
      </w:r>
    </w:p>
    <w:p>
      <w:pPr>
        <w:pStyle w:val="42"/>
        <w:spacing w:before="312" w:after="312"/>
        <w:rPr>
          <w:color w:val="auto"/>
        </w:rPr>
      </w:pPr>
      <w:bookmarkStart w:id="79" w:name="_Toc532824790"/>
      <w:bookmarkStart w:id="80" w:name="_Toc2769386"/>
      <w:bookmarkStart w:id="81" w:name="_Toc532824838"/>
      <w:r>
        <w:rPr>
          <w:rFonts w:hint="eastAsia"/>
          <w:color w:val="auto"/>
        </w:rPr>
        <w:t>服务规范</w:t>
      </w:r>
      <w:bookmarkEnd w:id="79"/>
      <w:bookmarkEnd w:id="80"/>
      <w:bookmarkEnd w:id="81"/>
    </w:p>
    <w:p>
      <w:pPr>
        <w:pStyle w:val="39"/>
        <w:spacing w:before="156" w:after="156"/>
        <w:rPr>
          <w:color w:val="auto"/>
        </w:rPr>
      </w:pPr>
      <w:r>
        <w:rPr>
          <w:rFonts w:hint="eastAsia"/>
          <w:color w:val="auto"/>
        </w:rPr>
        <w:t>服务对象</w:t>
      </w:r>
    </w:p>
    <w:p>
      <w:pPr>
        <w:pStyle w:val="22"/>
        <w:rPr>
          <w:color w:val="auto"/>
        </w:rPr>
      </w:pPr>
      <w:r>
        <w:rPr>
          <w:rFonts w:hint="eastAsia" w:ascii="宋体" w:hAnsi="宋体" w:eastAsia="宋体"/>
          <w:color w:val="auto"/>
        </w:rPr>
        <w:t>辖区</w:t>
      </w:r>
      <w:r>
        <w:rPr>
          <w:rFonts w:hint="eastAsia" w:ascii="宋体" w:hAnsi="宋体" w:eastAsia="宋体"/>
          <w:color w:val="auto"/>
          <w:lang w:eastAsia="zh-CN"/>
        </w:rPr>
        <w:t>公民、法人和社会组织</w:t>
      </w:r>
      <w:r>
        <w:rPr>
          <w:rFonts w:hint="eastAsia"/>
          <w:color w:val="auto"/>
        </w:rPr>
        <w:t>。</w:t>
      </w:r>
    </w:p>
    <w:p>
      <w:pPr>
        <w:pStyle w:val="39"/>
        <w:spacing w:before="156" w:after="156"/>
        <w:rPr>
          <w:color w:val="auto"/>
        </w:rPr>
      </w:pPr>
      <w:r>
        <w:rPr>
          <w:rFonts w:hint="eastAsia"/>
          <w:color w:val="auto"/>
        </w:rPr>
        <w:t>服务范围</w:t>
      </w:r>
    </w:p>
    <w:p>
      <w:pPr>
        <w:pStyle w:val="22"/>
        <w:rPr>
          <w:color w:val="auto"/>
        </w:rPr>
      </w:pPr>
      <w:r>
        <w:rPr>
          <w:rFonts w:hint="eastAsia"/>
          <w:color w:val="auto"/>
        </w:rPr>
        <w:t>中心服务范围包括但不限于以下内容：；</w:t>
      </w:r>
    </w:p>
    <w:p>
      <w:pPr>
        <w:pStyle w:val="56"/>
        <w:rPr>
          <w:color w:val="auto"/>
        </w:rPr>
      </w:pPr>
      <w:r>
        <w:rPr>
          <w:rFonts w:hint="eastAsia"/>
          <w:color w:val="auto"/>
        </w:rPr>
        <w:t>法律咨询；</w:t>
      </w:r>
    </w:p>
    <w:p>
      <w:pPr>
        <w:pStyle w:val="56"/>
        <w:rPr>
          <w:color w:val="auto"/>
        </w:rPr>
      </w:pPr>
      <w:r>
        <w:rPr>
          <w:rFonts w:hint="eastAsia"/>
          <w:color w:val="auto"/>
        </w:rPr>
        <w:t>矛盾纠纷调解；</w:t>
      </w:r>
    </w:p>
    <w:p>
      <w:pPr>
        <w:pStyle w:val="56"/>
        <w:rPr>
          <w:color w:val="auto"/>
        </w:rPr>
      </w:pPr>
      <w:r>
        <w:rPr>
          <w:rFonts w:hint="eastAsia"/>
          <w:color w:val="auto"/>
        </w:rPr>
        <w:t>法治宣传</w:t>
      </w:r>
      <w:r>
        <w:rPr>
          <w:rFonts w:hint="eastAsia"/>
          <w:color w:val="auto"/>
          <w:lang w:eastAsia="zh-CN"/>
        </w:rPr>
        <w:t>；</w:t>
      </w:r>
    </w:p>
    <w:p>
      <w:pPr>
        <w:pStyle w:val="56"/>
      </w:pPr>
      <w:r>
        <w:rPr>
          <w:rFonts w:hint="eastAsia"/>
          <w:color w:val="auto"/>
        </w:rPr>
        <w:t>特殊人群管理服务指引</w:t>
      </w:r>
      <w:r>
        <w:rPr>
          <w:rFonts w:hint="eastAsia"/>
        </w:rPr>
        <w:t>；</w:t>
      </w:r>
    </w:p>
    <w:p>
      <w:pPr>
        <w:pStyle w:val="56"/>
      </w:pPr>
      <w:r>
        <w:rPr>
          <w:rFonts w:hint="eastAsia"/>
        </w:rPr>
        <w:t>公证、法律援助、司法鉴定、仲裁等办理指引。</w:t>
      </w:r>
    </w:p>
    <w:p>
      <w:pPr>
        <w:pStyle w:val="39"/>
        <w:spacing w:before="156" w:after="156"/>
      </w:pPr>
      <w:r>
        <w:rPr>
          <w:rFonts w:hint="eastAsia"/>
        </w:rPr>
        <w:t>服务方式</w:t>
      </w:r>
    </w:p>
    <w:p>
      <w:pPr>
        <w:pStyle w:val="22"/>
      </w:pPr>
      <w:bookmarkStart w:id="82" w:name="_Toc460941176"/>
      <w:bookmarkStart w:id="83" w:name="_Toc460941200"/>
      <w:bookmarkStart w:id="84" w:name="_Toc466036454"/>
      <w:bookmarkStart w:id="85" w:name="_Toc466037058"/>
      <w:r>
        <w:rPr>
          <w:rFonts w:hint="eastAsia"/>
        </w:rPr>
        <w:t>中心服务方式包括但不限于以下内容：</w:t>
      </w:r>
      <w:bookmarkEnd w:id="82"/>
      <w:bookmarkEnd w:id="83"/>
      <w:bookmarkEnd w:id="84"/>
      <w:bookmarkEnd w:id="85"/>
    </w:p>
    <w:p>
      <w:pPr>
        <w:pStyle w:val="45"/>
      </w:pPr>
      <w:r>
        <w:rPr>
          <w:rFonts w:hint="eastAsia"/>
        </w:rPr>
        <w:t>人工：工作人员现场提供服务；</w:t>
      </w:r>
    </w:p>
    <w:p>
      <w:pPr>
        <w:pStyle w:val="45"/>
      </w:pPr>
      <w:r>
        <w:rPr>
          <w:rFonts w:hint="eastAsia"/>
        </w:rPr>
        <w:t>电话：通过热线电话提供服务；</w:t>
      </w:r>
    </w:p>
    <w:p>
      <w:pPr>
        <w:pStyle w:val="45"/>
      </w:pPr>
      <w:r>
        <w:rPr>
          <w:rFonts w:hint="eastAsia"/>
        </w:rPr>
        <w:t>自助：通过办事指南、服务手册、电脑、电子触摸屏等提供自助查询；</w:t>
      </w:r>
    </w:p>
    <w:p>
      <w:pPr>
        <w:pStyle w:val="45"/>
      </w:pPr>
      <w:r>
        <w:rPr>
          <w:rFonts w:hint="eastAsia"/>
        </w:rPr>
        <w:t>网络媒体：通过微信、微博、APP等提供服务。</w:t>
      </w:r>
    </w:p>
    <w:p>
      <w:pPr>
        <w:pStyle w:val="39"/>
        <w:spacing w:before="156" w:after="156"/>
      </w:pPr>
      <w:r>
        <w:rPr>
          <w:rFonts w:hint="eastAsia"/>
        </w:rPr>
        <w:t>服务流程</w:t>
      </w:r>
    </w:p>
    <w:p>
      <w:pPr>
        <w:pStyle w:val="22"/>
      </w:pPr>
      <w:r>
        <w:rPr>
          <w:rFonts w:hint="eastAsia"/>
        </w:rPr>
        <w:t>中心服务流程见附录A。</w:t>
      </w:r>
    </w:p>
    <w:p>
      <w:pPr>
        <w:pStyle w:val="39"/>
        <w:spacing w:before="156" w:after="156"/>
      </w:pPr>
      <w:r>
        <w:rPr>
          <w:rFonts w:hint="eastAsia"/>
        </w:rPr>
        <w:t>服务要求</w:t>
      </w:r>
    </w:p>
    <w:p>
      <w:pPr>
        <w:pStyle w:val="60"/>
        <w:spacing w:before="0" w:after="0"/>
        <w:rPr>
          <w:highlight w:val="none"/>
        </w:rPr>
      </w:pPr>
      <w:r>
        <w:rPr>
          <w:rFonts w:hint="eastAsia"/>
        </w:rPr>
        <w:t>简单的法律咨询</w:t>
      </w:r>
      <w:r>
        <w:rPr>
          <w:rFonts w:hint="eastAsia"/>
          <w:highlight w:val="none"/>
        </w:rPr>
        <w:t>类问题、一般性矛盾纠纷，实行即收即办，现场解答和调解。</w:t>
      </w:r>
    </w:p>
    <w:p>
      <w:pPr>
        <w:pStyle w:val="60"/>
        <w:spacing w:before="0" w:after="0"/>
        <w:rPr>
          <w:highlight w:val="none"/>
        </w:rPr>
      </w:pPr>
      <w:r>
        <w:rPr>
          <w:rFonts w:hint="eastAsia"/>
          <w:highlight w:val="none"/>
        </w:rPr>
        <w:t>疑难复杂的法律咨询类问题，现场受理，在规定期限内回复解答。</w:t>
      </w:r>
    </w:p>
    <w:p>
      <w:pPr>
        <w:pStyle w:val="60"/>
        <w:spacing w:before="0" w:after="0"/>
        <w:rPr>
          <w:highlight w:val="none"/>
        </w:rPr>
      </w:pPr>
      <w:r>
        <w:rPr>
          <w:rFonts w:hint="eastAsia"/>
          <w:highlight w:val="none"/>
        </w:rPr>
        <w:t>情况复杂、调解难度大的矛盾纠纷，现场受理，及时汇报司法所，另行组织专业力量实施调解。</w:t>
      </w:r>
    </w:p>
    <w:p>
      <w:pPr>
        <w:pStyle w:val="60"/>
        <w:spacing w:before="0" w:after="0"/>
        <w:rPr>
          <w:highlight w:val="none"/>
        </w:rPr>
      </w:pPr>
      <w:r>
        <w:rPr>
          <w:rFonts w:hint="eastAsia"/>
          <w:highlight w:val="none"/>
        </w:rPr>
        <w:t>公证、司法鉴定、法律援助等法律服务办理以及特殊人群管理等问题，应详细告知办理条件、办理程序和办理渠道，并提供指引。对当事人申请材料不齐全或不符合法定形式的事项，应指导申请人补正。</w:t>
      </w:r>
    </w:p>
    <w:p>
      <w:pPr>
        <w:pStyle w:val="60"/>
        <w:spacing w:before="0" w:after="0"/>
        <w:rPr>
          <w:highlight w:val="none"/>
        </w:rPr>
      </w:pPr>
      <w:r>
        <w:rPr>
          <w:rFonts w:hint="eastAsia"/>
          <w:highlight w:val="none"/>
        </w:rPr>
        <w:t>不属于中心服务范围的事项，说明不予受理的理由，并引导至相关职能部门。</w:t>
      </w:r>
    </w:p>
    <w:p>
      <w:pPr>
        <w:pStyle w:val="42"/>
        <w:spacing w:before="312" w:after="312"/>
      </w:pPr>
      <w:bookmarkStart w:id="86" w:name="_Toc460941173"/>
      <w:bookmarkStart w:id="87" w:name="_Toc460941199"/>
      <w:bookmarkStart w:id="88" w:name="_Toc466036455"/>
      <w:bookmarkStart w:id="89" w:name="_Toc466037059"/>
      <w:bookmarkStart w:id="90" w:name="_Toc532823788"/>
      <w:bookmarkStart w:id="91" w:name="_Toc532824083"/>
      <w:bookmarkStart w:id="92" w:name="_Toc532824791"/>
      <w:bookmarkStart w:id="93" w:name="_Toc532824839"/>
      <w:bookmarkStart w:id="94" w:name="_Toc2769387"/>
      <w:r>
        <w:rPr>
          <w:rFonts w:hint="eastAsia"/>
        </w:rPr>
        <w:t>管理</w:t>
      </w:r>
      <w:bookmarkEnd w:id="86"/>
      <w:bookmarkEnd w:id="87"/>
      <w:bookmarkEnd w:id="88"/>
      <w:bookmarkEnd w:id="89"/>
      <w:r>
        <w:rPr>
          <w:rFonts w:hint="eastAsia"/>
        </w:rPr>
        <w:t>要求</w:t>
      </w:r>
      <w:bookmarkEnd w:id="90"/>
      <w:bookmarkEnd w:id="91"/>
      <w:bookmarkEnd w:id="92"/>
      <w:bookmarkEnd w:id="93"/>
      <w:bookmarkEnd w:id="94"/>
    </w:p>
    <w:p>
      <w:pPr>
        <w:pStyle w:val="39"/>
        <w:spacing w:before="156" w:after="156"/>
      </w:pPr>
      <w:r>
        <w:rPr>
          <w:rFonts w:hint="eastAsia"/>
        </w:rPr>
        <w:t>制度建设</w:t>
      </w:r>
    </w:p>
    <w:p>
      <w:pPr>
        <w:pStyle w:val="22"/>
      </w:pPr>
      <w:r>
        <w:rPr>
          <w:rFonts w:hint="eastAsia"/>
        </w:rPr>
        <w:t>应建立以下工作制度并有效实施：</w:t>
      </w:r>
    </w:p>
    <w:p>
      <w:pPr>
        <w:pStyle w:val="45"/>
      </w:pPr>
      <w:r>
        <w:rPr>
          <w:rFonts w:hint="eastAsia"/>
        </w:rPr>
        <w:t>首问负责制度；</w:t>
      </w:r>
    </w:p>
    <w:p>
      <w:pPr>
        <w:pStyle w:val="45"/>
      </w:pPr>
      <w:r>
        <w:rPr>
          <w:rFonts w:hint="eastAsia"/>
        </w:rPr>
        <w:t>岗位职责制度；</w:t>
      </w:r>
    </w:p>
    <w:p>
      <w:pPr>
        <w:pStyle w:val="45"/>
      </w:pPr>
      <w:r>
        <w:rPr>
          <w:rFonts w:hint="eastAsia"/>
        </w:rPr>
        <w:t>档案管理制度；</w:t>
      </w:r>
    </w:p>
    <w:p>
      <w:pPr>
        <w:pStyle w:val="45"/>
      </w:pPr>
      <w:r>
        <w:rPr>
          <w:rFonts w:hint="eastAsia"/>
        </w:rPr>
        <w:t>学习培训制度；</w:t>
      </w:r>
    </w:p>
    <w:p>
      <w:pPr>
        <w:pStyle w:val="45"/>
      </w:pPr>
      <w:r>
        <w:rPr>
          <w:rFonts w:hint="eastAsia"/>
        </w:rPr>
        <w:t>效能考核制度；</w:t>
      </w:r>
    </w:p>
    <w:p>
      <w:pPr>
        <w:pStyle w:val="45"/>
      </w:pPr>
      <w:r>
        <w:rPr>
          <w:rFonts w:hint="eastAsia"/>
        </w:rPr>
        <w:t>分析研判制度；</w:t>
      </w:r>
    </w:p>
    <w:p>
      <w:pPr>
        <w:pStyle w:val="45"/>
      </w:pPr>
      <w:r>
        <w:rPr>
          <w:rFonts w:hint="eastAsia"/>
        </w:rPr>
        <w:t>责任追究制度；</w:t>
      </w:r>
    </w:p>
    <w:p>
      <w:pPr>
        <w:pStyle w:val="45"/>
      </w:pPr>
      <w:r>
        <w:rPr>
          <w:rFonts w:hint="eastAsia"/>
        </w:rPr>
        <w:t>服务评价与回访制度。</w:t>
      </w:r>
    </w:p>
    <w:p>
      <w:pPr>
        <w:pStyle w:val="39"/>
        <w:spacing w:before="156" w:after="156"/>
      </w:pPr>
      <w:bookmarkStart w:id="95" w:name="_Toc460941178"/>
      <w:bookmarkStart w:id="96" w:name="_Toc460941201"/>
      <w:r>
        <w:rPr>
          <w:rFonts w:hint="eastAsia"/>
        </w:rPr>
        <w:t>台帐</w:t>
      </w:r>
      <w:bookmarkEnd w:id="95"/>
      <w:bookmarkEnd w:id="96"/>
      <w:r>
        <w:rPr>
          <w:rFonts w:hint="eastAsia"/>
        </w:rPr>
        <w:t>管理</w:t>
      </w:r>
    </w:p>
    <w:p>
      <w:pPr>
        <w:pStyle w:val="43"/>
        <w:spacing w:before="156" w:after="156"/>
      </w:pPr>
      <w:bookmarkStart w:id="97" w:name="_Toc460941179"/>
      <w:r>
        <w:rPr>
          <w:rFonts w:hint="eastAsia"/>
        </w:rPr>
        <w:t>管理台帐</w:t>
      </w:r>
      <w:bookmarkEnd w:id="97"/>
    </w:p>
    <w:p>
      <w:pPr>
        <w:pStyle w:val="22"/>
      </w:pPr>
      <w:r>
        <w:rPr>
          <w:rFonts w:hint="eastAsia"/>
        </w:rPr>
        <w:t>管理台帐应包括但不限于以下内容：</w:t>
      </w:r>
    </w:p>
    <w:p>
      <w:pPr>
        <w:pStyle w:val="45"/>
      </w:pPr>
      <w:r>
        <w:rPr>
          <w:rFonts w:hint="eastAsia"/>
        </w:rPr>
        <w:t>业务管理。中心建设的制度文件，法律服务需求研判分析、工作督促检查、业务培训、群众满意度评价等相关文件、会议记录、工作图片等；</w:t>
      </w:r>
    </w:p>
    <w:p>
      <w:pPr>
        <w:pStyle w:val="45"/>
      </w:pPr>
      <w:r>
        <w:rPr>
          <w:rFonts w:hint="eastAsia"/>
        </w:rPr>
        <w:t>人员管理。服务人员名册、考勤记录、工作考核评价、工作经费发放等相关资料；</w:t>
      </w:r>
    </w:p>
    <w:p>
      <w:pPr>
        <w:pStyle w:val="45"/>
      </w:pPr>
      <w:r>
        <w:rPr>
          <w:rFonts w:hint="eastAsia"/>
        </w:rPr>
        <w:t>基础工作。工作计划、工作总结、统计报表、宣传报道、政府购买服务以及对（村）社区公共法律服务工作站指导记录等</w:t>
      </w:r>
      <w:bookmarkStart w:id="98" w:name="_Toc460941180"/>
      <w:r>
        <w:rPr>
          <w:rFonts w:hint="eastAsia"/>
        </w:rPr>
        <w:t>。</w:t>
      </w:r>
    </w:p>
    <w:p>
      <w:pPr>
        <w:pStyle w:val="43"/>
        <w:spacing w:before="156" w:after="156"/>
      </w:pPr>
      <w:r>
        <w:rPr>
          <w:rFonts w:hint="eastAsia"/>
        </w:rPr>
        <w:t>服务台账</w:t>
      </w:r>
      <w:bookmarkEnd w:id="98"/>
    </w:p>
    <w:p>
      <w:pPr>
        <w:pStyle w:val="110"/>
        <w:rPr>
          <w:color w:val="auto"/>
        </w:rPr>
      </w:pPr>
      <w:r>
        <w:rPr>
          <w:rFonts w:hint="eastAsia"/>
          <w:color w:val="auto"/>
          <w:lang w:eastAsia="zh-CN"/>
        </w:rPr>
        <w:t>服务台帐的形式包括电子台帐和纸质台帐。</w:t>
      </w:r>
    </w:p>
    <w:p>
      <w:pPr>
        <w:pStyle w:val="110"/>
      </w:pPr>
      <w:r>
        <w:rPr>
          <w:rFonts w:hint="eastAsia"/>
        </w:rPr>
        <w:t>应设置接待登记表，登记内容主要包括：来访人姓名、</w:t>
      </w:r>
      <w:r>
        <w:rPr>
          <w:rFonts w:hint="eastAsia"/>
          <w:lang w:eastAsia="zh-CN"/>
        </w:rPr>
        <w:t>居民身份证号码、</w:t>
      </w:r>
      <w:r>
        <w:rPr>
          <w:rFonts w:hint="eastAsia"/>
        </w:rPr>
        <w:t>联系方式、来访时间、接待人员、办理事项、办理过程及办理结果、接待人签名、满意度调查（非当场办理的可电话回访）。</w:t>
      </w:r>
    </w:p>
    <w:p>
      <w:pPr>
        <w:pStyle w:val="110"/>
      </w:pPr>
      <w:r>
        <w:rPr>
          <w:rFonts w:hint="eastAsia"/>
        </w:rPr>
        <w:t>办理过程、办理结果、接待人员签名由接待人员填写，其余事项由来访人填写。</w:t>
      </w:r>
    </w:p>
    <w:p>
      <w:pPr>
        <w:pStyle w:val="39"/>
        <w:spacing w:before="156" w:after="156"/>
      </w:pPr>
      <w:bookmarkStart w:id="99" w:name="_Toc374951774"/>
      <w:bookmarkStart w:id="100" w:name="_Toc385233751"/>
      <w:bookmarkStart w:id="101" w:name="_Toc385317197"/>
      <w:bookmarkStart w:id="102" w:name="_Toc398734689"/>
      <w:bookmarkStart w:id="103" w:name="_Toc430695554"/>
      <w:bookmarkStart w:id="104" w:name="_Toc430695561"/>
      <w:bookmarkStart w:id="105" w:name="_Toc430697788"/>
      <w:bookmarkStart w:id="106" w:name="_Toc432756482"/>
      <w:bookmarkStart w:id="107" w:name="_Toc432756489"/>
      <w:bookmarkStart w:id="108" w:name="_Toc435088768"/>
      <w:bookmarkStart w:id="109" w:name="_Toc435689555"/>
      <w:bookmarkStart w:id="110" w:name="_Toc436051733"/>
      <w:bookmarkStart w:id="111" w:name="_Toc436142057"/>
      <w:bookmarkStart w:id="112" w:name="_Toc438043011"/>
      <w:bookmarkStart w:id="113" w:name="_Toc439082261"/>
      <w:bookmarkStart w:id="114" w:name="_Toc440011096"/>
      <w:bookmarkStart w:id="115" w:name="_Toc440011365"/>
      <w:bookmarkStart w:id="116" w:name="_Toc456276671"/>
      <w:bookmarkStart w:id="117" w:name="_Toc456276687"/>
      <w:bookmarkStart w:id="118" w:name="_Toc460941181"/>
      <w:bookmarkStart w:id="119" w:name="_Toc460941202"/>
      <w:r>
        <w:rPr>
          <w:rFonts w:hint="eastAsia"/>
        </w:rPr>
        <w:t>投诉处理</w:t>
      </w:r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</w:p>
    <w:p>
      <w:pPr>
        <w:pStyle w:val="60"/>
      </w:pPr>
      <w:bookmarkStart w:id="120" w:name="_Toc460941182"/>
      <w:bookmarkStart w:id="121" w:name="_Toc416180457"/>
      <w:bookmarkStart w:id="122" w:name="_Toc456276672"/>
      <w:bookmarkStart w:id="123" w:name="_Toc411236849"/>
      <w:r>
        <w:rPr>
          <w:rFonts w:hint="eastAsia"/>
        </w:rPr>
        <w:t>明确受理部门和人员，</w:t>
      </w:r>
      <w:bookmarkEnd w:id="120"/>
      <w:bookmarkEnd w:id="121"/>
      <w:bookmarkStart w:id="124" w:name="_Toc460941183"/>
      <w:bookmarkStart w:id="125" w:name="_Toc416180458"/>
      <w:r>
        <w:rPr>
          <w:rFonts w:hint="eastAsia"/>
        </w:rPr>
        <w:t>公示投诉受理和处理的方式及程序</w:t>
      </w:r>
      <w:bookmarkEnd w:id="124"/>
      <w:r>
        <w:rPr>
          <w:rFonts w:hint="eastAsia"/>
        </w:rPr>
        <w:t>，设立投诉电话、电子邮箱和意见箱。</w:t>
      </w:r>
    </w:p>
    <w:bookmarkEnd w:id="122"/>
    <w:bookmarkEnd w:id="123"/>
    <w:bookmarkEnd w:id="125"/>
    <w:p>
      <w:pPr>
        <w:pStyle w:val="60"/>
      </w:pPr>
      <w:bookmarkStart w:id="126" w:name="_Toc456276674"/>
      <w:bookmarkStart w:id="127" w:name="_Toc460941185"/>
      <w:bookmarkStart w:id="128" w:name="_Toc456276673"/>
      <w:bookmarkStart w:id="129" w:name="_Toc460941184"/>
      <w:r>
        <w:rPr>
          <w:rFonts w:hint="eastAsia"/>
        </w:rPr>
        <w:t>完整、细致记录投诉受理和处理过程</w:t>
      </w:r>
      <w:bookmarkEnd w:id="126"/>
      <w:bookmarkEnd w:id="127"/>
      <w:r>
        <w:rPr>
          <w:rFonts w:hint="eastAsia"/>
        </w:rPr>
        <w:t>，限时处理服务对象所反映的问题。</w:t>
      </w:r>
      <w:bookmarkEnd w:id="128"/>
      <w:bookmarkEnd w:id="129"/>
    </w:p>
    <w:p>
      <w:pPr>
        <w:pStyle w:val="39"/>
        <w:spacing w:before="156" w:after="156"/>
      </w:pPr>
      <w:bookmarkStart w:id="130" w:name="_Toc440011097"/>
      <w:bookmarkStart w:id="131" w:name="_Toc440011366"/>
      <w:bookmarkStart w:id="132" w:name="_Toc416180461"/>
      <w:bookmarkStart w:id="133" w:name="_Toc436051734"/>
      <w:bookmarkStart w:id="134" w:name="_Toc436142058"/>
      <w:bookmarkStart w:id="135" w:name="_Toc439082262"/>
      <w:bookmarkStart w:id="136" w:name="_Toc438043012"/>
      <w:bookmarkStart w:id="137" w:name="_Toc456276675"/>
      <w:bookmarkStart w:id="138" w:name="_Toc456276688"/>
      <w:bookmarkStart w:id="139" w:name="_Toc460941186"/>
      <w:bookmarkStart w:id="140" w:name="_Toc460941203"/>
      <w:bookmarkStart w:id="141" w:name="_Toc408816273"/>
      <w:r>
        <w:rPr>
          <w:rFonts w:hint="eastAsia"/>
        </w:rPr>
        <w:t>评价与改进</w:t>
      </w:r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bookmarkEnd w:id="141"/>
    <w:p>
      <w:pPr>
        <w:pStyle w:val="60"/>
      </w:pPr>
      <w:bookmarkStart w:id="142" w:name="_Toc460941187"/>
      <w:bookmarkStart w:id="143" w:name="_Toc456276676"/>
      <w:r>
        <w:rPr>
          <w:rFonts w:hint="eastAsia"/>
        </w:rPr>
        <w:t>制定服务满意度测评方案，并安排专人实施。</w:t>
      </w:r>
      <w:bookmarkEnd w:id="142"/>
      <w:bookmarkEnd w:id="143"/>
    </w:p>
    <w:p>
      <w:pPr>
        <w:pStyle w:val="60"/>
      </w:pPr>
      <w:r>
        <w:rPr>
          <w:rFonts w:hint="eastAsia"/>
        </w:rPr>
        <w:t>对测评结果应及时分析评估，持续改进服务质量。</w:t>
      </w:r>
    </w:p>
    <w:p>
      <w:pPr>
        <w:pStyle w:val="42"/>
        <w:numPr>
          <w:ilvl w:val="0"/>
          <w:numId w:val="0"/>
        </w:numPr>
        <w:spacing w:before="312" w:after="312"/>
      </w:pPr>
    </w:p>
    <w:p>
      <w:pPr>
        <w:pStyle w:val="22"/>
      </w:pPr>
    </w:p>
    <w:p>
      <w:pPr>
        <w:pStyle w:val="95"/>
      </w:pPr>
    </w:p>
    <w:p>
      <w:pPr>
        <w:pStyle w:val="83"/>
      </w:pPr>
    </w:p>
    <w:p>
      <w:pPr>
        <w:pStyle w:val="81"/>
      </w:pPr>
      <w:r>
        <w:br w:type="textWrapping"/>
      </w:r>
      <w:bookmarkStart w:id="144" w:name="_Toc532824084"/>
      <w:bookmarkStart w:id="145" w:name="_Toc532824792"/>
      <w:bookmarkStart w:id="146" w:name="_Toc532824840"/>
      <w:bookmarkStart w:id="147" w:name="_Toc2769388"/>
      <w:r>
        <w:rPr>
          <w:rFonts w:hint="eastAsia"/>
        </w:rPr>
        <w:t>（规范性附录）</w:t>
      </w:r>
      <w:r>
        <w:br w:type="textWrapping"/>
      </w:r>
      <w:r>
        <w:rPr>
          <w:rFonts w:hint="eastAsia"/>
        </w:rPr>
        <w:t>乡镇(街道)公共法律服务中心服务流程</w:t>
      </w:r>
      <w:bookmarkEnd w:id="144"/>
      <w:bookmarkEnd w:id="145"/>
      <w:bookmarkEnd w:id="146"/>
      <w:bookmarkEnd w:id="147"/>
    </w:p>
    <w:p>
      <w:pPr>
        <w:pStyle w:val="96"/>
        <w:numPr>
          <w:ilvl w:val="0"/>
          <w:numId w:val="0"/>
        </w:numPr>
        <w:spacing w:before="156" w:after="156"/>
        <w:ind w:left="623"/>
        <w:jc w:val="both"/>
      </w:pPr>
      <w:r>
        <w:drawing>
          <wp:inline distT="0" distB="0" distL="0" distR="0">
            <wp:extent cx="3629025" cy="5467350"/>
            <wp:effectExtent l="1905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29025" cy="546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96"/>
        <w:spacing w:before="156" w:after="156"/>
      </w:pPr>
      <w:r>
        <w:rPr>
          <w:rFonts w:hint="eastAsia"/>
        </w:rPr>
        <w:t>乡镇(街道)公共法律服务中心服务流程图</w:t>
      </w:r>
    </w:p>
    <w:p>
      <w:pPr>
        <w:pStyle w:val="22"/>
      </w:pPr>
    </w:p>
    <w:p>
      <w:pPr>
        <w:pStyle w:val="68"/>
      </w:pPr>
      <w:bookmarkStart w:id="148" w:name="BKCKWX"/>
      <w:bookmarkStart w:id="149" w:name="_Toc532824085"/>
      <w:bookmarkStart w:id="150" w:name="_Toc532824793"/>
      <w:bookmarkStart w:id="151" w:name="_Toc532824841"/>
      <w:bookmarkStart w:id="152" w:name="_Toc2769389"/>
      <w:r>
        <w:rPr>
          <w:rFonts w:hint="eastAsia"/>
        </w:rPr>
        <w:t>参</w:t>
      </w:r>
      <w:r>
        <w:rPr>
          <w:rFonts w:hAnsi="黑体"/>
        </w:rPr>
        <w:t> </w:t>
      </w:r>
      <w:r>
        <w:rPr>
          <w:rFonts w:hint="eastAsia"/>
        </w:rPr>
        <w:t>考</w:t>
      </w:r>
      <w:r>
        <w:rPr>
          <w:rFonts w:hAnsi="黑体"/>
        </w:rPr>
        <w:t> </w:t>
      </w:r>
      <w:r>
        <w:rPr>
          <w:rFonts w:hint="eastAsia"/>
        </w:rPr>
        <w:t>文</w:t>
      </w:r>
      <w:r>
        <w:rPr>
          <w:rFonts w:hAnsi="黑体"/>
        </w:rPr>
        <w:t> </w:t>
      </w:r>
      <w:r>
        <w:rPr>
          <w:rFonts w:hint="eastAsia"/>
        </w:rPr>
        <w:t>献</w:t>
      </w:r>
      <w:bookmarkEnd w:id="148"/>
      <w:bookmarkEnd w:id="149"/>
      <w:bookmarkEnd w:id="150"/>
      <w:bookmarkEnd w:id="151"/>
      <w:bookmarkEnd w:id="152"/>
    </w:p>
    <w:p>
      <w:pPr>
        <w:pStyle w:val="22"/>
      </w:pPr>
      <w:r>
        <w:rPr>
          <w:rFonts w:hint="eastAsia"/>
        </w:rPr>
        <w:t>[1] 江苏省公共法律服务“十三五”发展规划（苏司通〔2016〕32号）</w:t>
      </w:r>
    </w:p>
    <w:p>
      <w:pPr>
        <w:pStyle w:val="22"/>
      </w:pPr>
      <w:r>
        <w:rPr>
          <w:rFonts w:hint="eastAsia"/>
        </w:rPr>
        <w:t xml:space="preserve">[2] </w:t>
      </w:r>
      <w:r>
        <w:t>司法部关于深入推进公共法律服务平台建设的指导意见</w:t>
      </w:r>
    </w:p>
    <w:p>
      <w:pPr>
        <w:pStyle w:val="22"/>
      </w:pPr>
      <w:r>
        <w:rPr>
          <w:rFonts w:hint="eastAsia"/>
        </w:rPr>
        <w:t>[3] 《关于加快推进覆盖城乡的公共法律服务体系建设的意见》（苏政办发〔2018〕32号）</w:t>
      </w:r>
    </w:p>
    <w:p>
      <w:pPr>
        <w:pStyle w:val="22"/>
      </w:pPr>
    </w:p>
    <w:p>
      <w:pPr>
        <w:pStyle w:val="126"/>
      </w:pPr>
      <w:r>
        <w:t>_________________________________</w:t>
      </w:r>
    </w:p>
    <w:sectPr>
      <w:pgSz w:w="11906" w:h="16838"/>
      <w:pgMar w:top="567" w:right="1134" w:bottom="1134" w:left="1418" w:header="1418" w:footer="1134" w:gutter="0"/>
      <w:pgNumType w:start="1"/>
      <w:cols w:space="425" w:num="1"/>
      <w:formProt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S Mincho">
    <w:panose1 w:val="02020609040205080304"/>
    <w:charset w:val="80"/>
    <w:family w:val="modern"/>
    <w:pitch w:val="default"/>
    <w:sig w:usb0="E00002FF" w:usb1="6AC7FDFB" w:usb2="00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0"/>
    </w:pPr>
    <w:r>
      <w:fldChar w:fldCharType="begin"/>
    </w:r>
    <w:r>
      <w:instrText xml:space="preserve"> PAGE  \* MERGEFORMAT </w:instrText>
    </w:r>
    <w:r>
      <w:fldChar w:fldCharType="separate"/>
    </w:r>
    <w:r>
      <w:t>I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1"/>
    </w:pPr>
    <w:r>
      <w:t>DB32/T—XXXX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102AD"/>
    <w:multiLevelType w:val="multilevel"/>
    <w:tmpl w:val="079102AD"/>
    <w:lvl w:ilvl="0" w:tentative="0">
      <w:start w:val="1"/>
      <w:numFmt w:val="decimal"/>
      <w:pStyle w:val="55"/>
      <w:suff w:val="nothing"/>
      <w:lvlText w:val="注%1："/>
      <w:lvlJc w:val="left"/>
      <w:pPr>
        <w:ind w:left="811" w:hanging="448"/>
      </w:pPr>
      <w:rPr>
        <w:rFonts w:hint="eastAsia" w:ascii="黑体" w:eastAsia="黑体"/>
        <w:b w:val="0"/>
        <w:i w:val="0"/>
        <w:sz w:val="18"/>
        <w:lang w:val="en-US"/>
      </w:rPr>
    </w:lvl>
    <w:lvl w:ilvl="1" w:tentative="0">
      <w:start w:val="1"/>
      <w:numFmt w:val="lowerLetter"/>
      <w:lvlText w:val="%2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992" w:hanging="629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992" w:hanging="62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093C6778"/>
    <w:lvl w:ilvl="0" w:tentative="0">
      <w:start w:val="1"/>
      <w:numFmt w:val="decimal"/>
      <w:pStyle w:val="113"/>
      <w:suff w:val="nothing"/>
      <w:lvlText w:val="示例%1："/>
      <w:lvlJc w:val="left"/>
      <w:pPr>
        <w:ind w:left="0" w:firstLine="397"/>
      </w:pPr>
      <w:rPr>
        <w:rFonts w:hint="eastAsia" w:ascii="黑体" w:eastAsia="黑体"/>
        <w:sz w:val="18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0AE367E9"/>
    <w:lvl w:ilvl="0" w:tentative="0">
      <w:start w:val="1"/>
      <w:numFmt w:val="none"/>
      <w:pStyle w:val="49"/>
      <w:suff w:val="nothing"/>
      <w:lvlText w:val="%1示例："/>
      <w:lvlJc w:val="left"/>
      <w:pPr>
        <w:ind w:left="0" w:firstLine="363"/>
      </w:pPr>
      <w:rPr>
        <w:rFonts w:hint="eastAsia" w:ascii="黑体" w:eastAsia="黑体"/>
        <w:b w:val="0"/>
        <w:i w:val="0"/>
        <w:sz w:val="18"/>
        <w:szCs w:val="18"/>
      </w:rPr>
    </w:lvl>
    <w:lvl w:ilvl="1" w:tentative="0">
      <w:start w:val="1"/>
      <w:numFmt w:val="lowerLetter"/>
      <w:lvlText w:val="%2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363"/>
        </w:tabs>
        <w:ind w:left="0" w:firstLine="363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363"/>
        </w:tabs>
        <w:ind w:left="0" w:firstLine="363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63"/>
        </w:tabs>
        <w:ind w:left="0" w:firstLine="363"/>
      </w:pPr>
      <w:rPr>
        <w:rFonts w:hint="eastAsia"/>
      </w:rPr>
    </w:lvl>
  </w:abstractNum>
  <w:abstractNum w:abstractNumId="3">
    <w:nsid w:val="0DDE2B46"/>
    <w:multiLevelType w:val="multilevel"/>
    <w:tmpl w:val="0DDE2B46"/>
    <w:lvl w:ilvl="0" w:tentative="0">
      <w:start w:val="1"/>
      <w:numFmt w:val="lowerLetter"/>
      <w:pStyle w:val="118"/>
      <w:suff w:val="nothing"/>
      <w:lvlText w:val="%1   "/>
      <w:lvlJc w:val="left"/>
      <w:pPr>
        <w:ind w:left="544" w:hanging="181"/>
      </w:pPr>
      <w:rPr>
        <w:rFonts w:hint="eastAsia" w:ascii="宋体" w:eastAsia="宋体"/>
        <w:b w:val="0"/>
        <w:i w:val="0"/>
        <w:sz w:val="18"/>
        <w:vertAlign w:val="superscript"/>
      </w:rPr>
    </w:lvl>
    <w:lvl w:ilvl="1" w:tentative="0">
      <w:start w:val="1"/>
      <w:numFmt w:val="lowerLetter"/>
      <w:lvlText w:val="%2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57"/>
        </w:tabs>
        <w:ind w:left="363" w:hanging="363"/>
      </w:pPr>
      <w:rPr>
        <w:rFonts w:hint="eastAsia"/>
      </w:rPr>
    </w:lvl>
  </w:abstractNum>
  <w:abstractNum w:abstractNumId="4">
    <w:nsid w:val="1DBF583A"/>
    <w:multiLevelType w:val="multilevel"/>
    <w:tmpl w:val="1DBF583A"/>
    <w:lvl w:ilvl="0" w:tentative="0">
      <w:start w:val="1"/>
      <w:numFmt w:val="decimal"/>
      <w:pStyle w:val="62"/>
      <w:suff w:val="nothing"/>
      <w:lvlText w:val="注%1："/>
      <w:lvlJc w:val="left"/>
      <w:pPr>
        <w:ind w:left="811" w:hanging="448"/>
      </w:pPr>
      <w:rPr>
        <w:rFonts w:hint="eastAsia" w:ascii="黑体" w:eastAsia="黑体"/>
        <w:b w:val="0"/>
        <w:i w:val="0"/>
        <w:sz w:val="18"/>
        <w:szCs w:val="18"/>
        <w:vertAlign w:val="baseline"/>
      </w:rPr>
    </w:lvl>
    <w:lvl w:ilvl="1" w:tentative="0">
      <w:start w:val="1"/>
      <w:numFmt w:val="lowerLetter"/>
      <w:lvlText w:val="%2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2" w:tentative="0">
      <w:start w:val="1"/>
      <w:numFmt w:val="lowerRoman"/>
      <w:lvlText w:val="%3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3" w:tentative="0">
      <w:start w:val="1"/>
      <w:numFmt w:val="decimal"/>
      <w:lvlText w:val="%4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4" w:tentative="0">
      <w:start w:val="1"/>
      <w:numFmt w:val="lowerLetter"/>
      <w:lvlText w:val="%5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5" w:tentative="0">
      <w:start w:val="1"/>
      <w:numFmt w:val="lowerRoman"/>
      <w:lvlText w:val="%6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6" w:tentative="0">
      <w:start w:val="1"/>
      <w:numFmt w:val="decimal"/>
      <w:lvlText w:val="%7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7" w:tentative="0">
      <w:start w:val="1"/>
      <w:numFmt w:val="lowerLetter"/>
      <w:lvlText w:val="%8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8" w:tentative="0">
      <w:start w:val="1"/>
      <w:numFmt w:val="lowerRoman"/>
      <w:lvlText w:val="%9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</w:abstractNum>
  <w:abstractNum w:abstractNumId="5">
    <w:nsid w:val="1FC91163"/>
    <w:multiLevelType w:val="multilevel"/>
    <w:tmpl w:val="1FC91163"/>
    <w:lvl w:ilvl="0" w:tentative="0">
      <w:start w:val="1"/>
      <w:numFmt w:val="decimal"/>
      <w:pStyle w:val="42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39"/>
      <w:suff w:val="nothing"/>
      <w:lvlText w:val="%1.%2　"/>
      <w:lvlJc w:val="left"/>
      <w:pPr>
        <w:ind w:left="71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43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48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52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53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6">
    <w:nsid w:val="2A8F7113"/>
    <w:multiLevelType w:val="multilevel"/>
    <w:tmpl w:val="2A8F7113"/>
    <w:lvl w:ilvl="0" w:tentative="0">
      <w:start w:val="1"/>
      <w:numFmt w:val="upperLetter"/>
      <w:pStyle w:val="95"/>
      <w:suff w:val="space"/>
      <w:lvlText w:val="%1"/>
      <w:lvlJc w:val="left"/>
      <w:pPr>
        <w:ind w:left="623" w:hanging="425"/>
      </w:pPr>
      <w:rPr>
        <w:rFonts w:hint="eastAsia"/>
      </w:rPr>
    </w:lvl>
    <w:lvl w:ilvl="1" w:tentative="0">
      <w:start w:val="1"/>
      <w:numFmt w:val="decimal"/>
      <w:pStyle w:val="96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7">
    <w:nsid w:val="2C5917C3"/>
    <w:multiLevelType w:val="multilevel"/>
    <w:tmpl w:val="2C5917C3"/>
    <w:lvl w:ilvl="0" w:tentative="0">
      <w:start w:val="1"/>
      <w:numFmt w:val="none"/>
      <w:pStyle w:val="45"/>
      <w:suff w:val="nothing"/>
      <w:lvlText w:val="%1——"/>
      <w:lvlJc w:val="left"/>
      <w:pPr>
        <w:ind w:left="833" w:hanging="408"/>
      </w:pPr>
      <w:rPr>
        <w:rFonts w:hint="eastAsia"/>
      </w:rPr>
    </w:lvl>
    <w:lvl w:ilvl="1" w:tentative="0">
      <w:start w:val="1"/>
      <w:numFmt w:val="bullet"/>
      <w:pStyle w:val="46"/>
      <w:lvlText w:val=""/>
      <w:lvlJc w:val="left"/>
      <w:pPr>
        <w:tabs>
          <w:tab w:val="left" w:pos="760"/>
        </w:tabs>
        <w:ind w:left="1264" w:hanging="413"/>
      </w:pPr>
      <w:rPr>
        <w:rFonts w:hint="default" w:ascii="Symbol" w:hAnsi="Symbol"/>
        <w:color w:val="auto"/>
      </w:rPr>
    </w:lvl>
    <w:lvl w:ilvl="2" w:tentative="0">
      <w:start w:val="1"/>
      <w:numFmt w:val="bullet"/>
      <w:pStyle w:val="57"/>
      <w:lvlText w:val=""/>
      <w:lvlJc w:val="left"/>
      <w:pPr>
        <w:tabs>
          <w:tab w:val="left" w:pos="1678"/>
        </w:tabs>
        <w:ind w:left="1678" w:hanging="414"/>
      </w:pPr>
      <w:rPr>
        <w:rFonts w:hint="default" w:ascii="Symbol" w:hAnsi="Symbol"/>
        <w:color w:val="auto"/>
      </w:rPr>
    </w:lvl>
    <w:lvl w:ilvl="3" w:tentative="0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8">
    <w:nsid w:val="3D733618"/>
    <w:multiLevelType w:val="multilevel"/>
    <w:tmpl w:val="3D733618"/>
    <w:lvl w:ilvl="0" w:tentative="0">
      <w:start w:val="1"/>
      <w:numFmt w:val="decimal"/>
      <w:pStyle w:val="23"/>
      <w:lvlText w:val="%1)"/>
      <w:lvlJc w:val="left"/>
      <w:pPr>
        <w:tabs>
          <w:tab w:val="left" w:pos="0"/>
        </w:tabs>
        <w:ind w:left="720" w:hanging="357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504"/>
        </w:tabs>
        <w:ind w:left="544" w:hanging="544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532"/>
        </w:tabs>
        <w:ind w:left="544" w:hanging="544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560"/>
        </w:tabs>
        <w:ind w:left="544" w:hanging="544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88"/>
        </w:tabs>
        <w:ind w:left="544" w:hanging="544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16"/>
        </w:tabs>
        <w:ind w:left="544" w:hanging="544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4"/>
        </w:tabs>
        <w:ind w:left="544" w:hanging="544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72"/>
        </w:tabs>
        <w:ind w:left="544" w:hanging="544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00"/>
        </w:tabs>
        <w:ind w:left="544" w:hanging="544"/>
      </w:pPr>
      <w:rPr>
        <w:rFonts w:hint="eastAsia"/>
      </w:rPr>
    </w:lvl>
  </w:abstractNum>
  <w:abstractNum w:abstractNumId="9">
    <w:nsid w:val="4B733A5F"/>
    <w:multiLevelType w:val="multilevel"/>
    <w:tmpl w:val="4B733A5F"/>
    <w:lvl w:ilvl="0" w:tentative="0">
      <w:start w:val="1"/>
      <w:numFmt w:val="decimal"/>
      <w:pStyle w:val="59"/>
      <w:suff w:val="nothing"/>
      <w:lvlText w:val="示例%1："/>
      <w:lvlJc w:val="left"/>
      <w:pPr>
        <w:ind w:left="0" w:firstLine="363"/>
      </w:pPr>
      <w:rPr>
        <w:rFonts w:hint="eastAsia" w:ascii="黑体" w:hAnsi="Times New Roman" w:eastAsia="黑体"/>
        <w:b w:val="0"/>
        <w:i w:val="0"/>
        <w:sz w:val="18"/>
        <w:szCs w:val="18"/>
        <w:vertAlign w:val="baseline"/>
      </w:rPr>
    </w:lvl>
    <w:lvl w:ilvl="1" w:tentative="0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 w:tentative="0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4" w:tentative="0">
      <w:start w:val="1"/>
      <w:numFmt w:val="lowerLetter"/>
      <w:lvlText w:val="%5)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7" w:tentative="0">
      <w:start w:val="1"/>
      <w:numFmt w:val="lowerLetter"/>
      <w:lvlText w:val="%8)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992" w:hanging="629"/>
      </w:pPr>
      <w:rPr>
        <w:rFonts w:hint="eastAsia"/>
        <w:vertAlign w:val="baseline"/>
      </w:rPr>
    </w:lvl>
  </w:abstractNum>
  <w:abstractNum w:abstractNumId="10">
    <w:nsid w:val="4EEC7A76"/>
    <w:multiLevelType w:val="multilevel"/>
    <w:tmpl w:val="4EEC7A76"/>
    <w:lvl w:ilvl="0" w:tentative="0">
      <w:start w:val="1"/>
      <w:numFmt w:val="lowerLetter"/>
      <w:pStyle w:val="56"/>
      <w:lvlText w:val="%1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  <w:szCs w:val="21"/>
      </w:rPr>
    </w:lvl>
    <w:lvl w:ilvl="1" w:tentative="0">
      <w:start w:val="1"/>
      <w:numFmt w:val="decimal"/>
      <w:pStyle w:val="51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 w:tentative="0">
      <w:start w:val="1"/>
      <w:numFmt w:val="decimal"/>
      <w:pStyle w:val="58"/>
      <w:lvlText w:val="(%3)"/>
      <w:lvlJc w:val="left"/>
      <w:pPr>
        <w:tabs>
          <w:tab w:val="left" w:pos="0"/>
        </w:tabs>
        <w:ind w:left="1679" w:hanging="420"/>
      </w:pPr>
      <w:rPr>
        <w:rFonts w:hint="eastAsia" w:ascii="宋体" w:eastAsia="宋体"/>
        <w:b w:val="0"/>
        <w:i w:val="0"/>
        <w:sz w:val="21"/>
        <w:szCs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11">
    <w:nsid w:val="557C2AF5"/>
    <w:multiLevelType w:val="multilevel"/>
    <w:tmpl w:val="557C2AF5"/>
    <w:lvl w:ilvl="0" w:tentative="0">
      <w:start w:val="1"/>
      <w:numFmt w:val="decimal"/>
      <w:pStyle w:val="125"/>
      <w:suff w:val="nothing"/>
      <w:lvlText w:val="图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%2.%3.%4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2">
    <w:nsid w:val="60B55DC2"/>
    <w:multiLevelType w:val="multilevel"/>
    <w:tmpl w:val="60B55DC2"/>
    <w:lvl w:ilvl="0" w:tentative="0">
      <w:start w:val="1"/>
      <w:numFmt w:val="upperLetter"/>
      <w:pStyle w:val="83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 w:tentative="0">
      <w:start w:val="1"/>
      <w:numFmt w:val="decimal"/>
      <w:pStyle w:val="84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13">
    <w:nsid w:val="646260FA"/>
    <w:multiLevelType w:val="multilevel"/>
    <w:tmpl w:val="646260FA"/>
    <w:lvl w:ilvl="0" w:tentative="0">
      <w:start w:val="1"/>
      <w:numFmt w:val="decimal"/>
      <w:pStyle w:val="123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4">
    <w:nsid w:val="657D3FBC"/>
    <w:multiLevelType w:val="multilevel"/>
    <w:tmpl w:val="657D3FBC"/>
    <w:lvl w:ilvl="0" w:tentative="0">
      <w:start w:val="1"/>
      <w:numFmt w:val="upperLetter"/>
      <w:pStyle w:val="81"/>
      <w:suff w:val="nothing"/>
      <w:lvlText w:val="附　录　%1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pacing w:val="0"/>
        <w:w w:val="100"/>
        <w:sz w:val="21"/>
      </w:rPr>
    </w:lvl>
    <w:lvl w:ilvl="1" w:tentative="0">
      <w:start w:val="1"/>
      <w:numFmt w:val="decimal"/>
      <w:pStyle w:val="99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napToGrid/>
        <w:spacing w:val="0"/>
        <w:w w:val="100"/>
        <w:kern w:val="21"/>
        <w:sz w:val="21"/>
      </w:rPr>
    </w:lvl>
    <w:lvl w:ilvl="2" w:tentative="0">
      <w:start w:val="1"/>
      <w:numFmt w:val="decimal"/>
      <w:pStyle w:val="100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85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90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93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97"/>
      <w:suff w:val="nothing"/>
      <w:lvlText w:val="%1.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5">
    <w:nsid w:val="6D6C07CD"/>
    <w:multiLevelType w:val="multilevel"/>
    <w:tmpl w:val="6D6C07CD"/>
    <w:lvl w:ilvl="0" w:tentative="0">
      <w:start w:val="1"/>
      <w:numFmt w:val="lowerLetter"/>
      <w:pStyle w:val="102"/>
      <w:lvlText w:val="%1)"/>
      <w:lvlJc w:val="left"/>
      <w:pPr>
        <w:tabs>
          <w:tab w:val="left" w:pos="839"/>
        </w:tabs>
        <w:ind w:left="839" w:hanging="419"/>
      </w:pPr>
      <w:rPr>
        <w:rFonts w:hint="eastAsia" w:ascii="宋体" w:eastAsia="宋体"/>
        <w:b w:val="0"/>
        <w:i w:val="0"/>
        <w:sz w:val="21"/>
      </w:rPr>
    </w:lvl>
    <w:lvl w:ilvl="1" w:tentative="0">
      <w:start w:val="1"/>
      <w:numFmt w:val="decimal"/>
      <w:pStyle w:val="92"/>
      <w:lvlText w:val="%2)"/>
      <w:lvlJc w:val="left"/>
      <w:pPr>
        <w:tabs>
          <w:tab w:val="left" w:pos="840"/>
        </w:tabs>
        <w:ind w:left="839" w:hanging="419"/>
      </w:pPr>
      <w:rPr>
        <w:rFonts w:hint="eastAsia" w:ascii="宋体" w:eastAsia="宋体"/>
        <w:b w:val="0"/>
        <w:i w:val="0"/>
        <w:sz w:val="21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59" w:hanging="419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7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1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3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79" w:hanging="419"/>
      </w:pPr>
      <w:rPr>
        <w:rFonts w:hint="eastAsia"/>
      </w:rPr>
    </w:lvl>
  </w:abstractNum>
  <w:abstractNum w:abstractNumId="16">
    <w:nsid w:val="6DBF04F4"/>
    <w:multiLevelType w:val="multilevel"/>
    <w:tmpl w:val="6DBF04F4"/>
    <w:lvl w:ilvl="0" w:tentative="0">
      <w:start w:val="1"/>
      <w:numFmt w:val="none"/>
      <w:pStyle w:val="54"/>
      <w:suff w:val="nothing"/>
      <w:lvlText w:val="%1注："/>
      <w:lvlJc w:val="left"/>
      <w:pPr>
        <w:ind w:left="726" w:hanging="363"/>
      </w:pPr>
      <w:rPr>
        <w:rFonts w:hint="eastAsia" w:ascii="黑体" w:hAnsi="Times New Roman" w:eastAsia="黑体"/>
        <w:b w:val="0"/>
        <w:i w:val="0"/>
        <w:sz w:val="18"/>
      </w:rPr>
    </w:lvl>
    <w:lvl w:ilvl="1" w:tentative="0">
      <w:start w:val="1"/>
      <w:numFmt w:val="lowerLetter"/>
      <w:lvlText w:val="%2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1140"/>
        </w:tabs>
        <w:ind w:left="726" w:hanging="363"/>
      </w:pPr>
      <w:rPr>
        <w:rFonts w:hint="eastAsia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2"/>
  </w:num>
  <w:num w:numId="5">
    <w:abstractNumId w:val="10"/>
  </w:num>
  <w:num w:numId="6">
    <w:abstractNumId w:val="16"/>
  </w:num>
  <w:num w:numId="7">
    <w:abstractNumId w:val="0"/>
  </w:num>
  <w:num w:numId="8">
    <w:abstractNumId w:val="9"/>
  </w:num>
  <w:num w:numId="9">
    <w:abstractNumId w:val="4"/>
  </w:num>
  <w:num w:numId="10">
    <w:abstractNumId w:val="14"/>
  </w:num>
  <w:num w:numId="11">
    <w:abstractNumId w:val="12"/>
  </w:num>
  <w:num w:numId="12">
    <w:abstractNumId w:val="15"/>
  </w:num>
  <w:num w:numId="13">
    <w:abstractNumId w:val="6"/>
  </w:num>
  <w:num w:numId="14">
    <w:abstractNumId w:val="1"/>
  </w:num>
  <w:num w:numId="15">
    <w:abstractNumId w:val="3"/>
  </w:num>
  <w:num w:numId="16">
    <w:abstractNumId w:val="13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bordersDoNotSurroundHeader w:val="0"/>
  <w:bordersDoNotSurroundFooter w:val="0"/>
  <w:attachedTemplate r:id="rId1"/>
  <w:documentProtection w:edit="forms" w:enforcement="1" w:cryptProviderType="rsaFull" w:cryptAlgorithmClass="hash" w:cryptAlgorithmType="typeAny" w:cryptAlgorithmSid="4" w:cryptSpinCount="0" w:hash="76/nYKXz5Me0aOaAOSABm1cRRNs=" w:salt="b05lQJrSDHOUfSoylPL2TQ==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2432B"/>
    <w:rsid w:val="00000244"/>
    <w:rsid w:val="0000185F"/>
    <w:rsid w:val="0000586F"/>
    <w:rsid w:val="00013D86"/>
    <w:rsid w:val="00013E02"/>
    <w:rsid w:val="0002143C"/>
    <w:rsid w:val="00025A65"/>
    <w:rsid w:val="00026C31"/>
    <w:rsid w:val="00027280"/>
    <w:rsid w:val="000320A7"/>
    <w:rsid w:val="00035925"/>
    <w:rsid w:val="00041C47"/>
    <w:rsid w:val="00067CDF"/>
    <w:rsid w:val="00073F8C"/>
    <w:rsid w:val="00074FBE"/>
    <w:rsid w:val="00083A09"/>
    <w:rsid w:val="0009005E"/>
    <w:rsid w:val="00092857"/>
    <w:rsid w:val="000A20A9"/>
    <w:rsid w:val="000A48B1"/>
    <w:rsid w:val="000B25E8"/>
    <w:rsid w:val="000B3143"/>
    <w:rsid w:val="000C699B"/>
    <w:rsid w:val="000C6B05"/>
    <w:rsid w:val="000C6DD6"/>
    <w:rsid w:val="000C73D4"/>
    <w:rsid w:val="000D3D4C"/>
    <w:rsid w:val="000D4F51"/>
    <w:rsid w:val="000D718B"/>
    <w:rsid w:val="000E0C46"/>
    <w:rsid w:val="000E7D61"/>
    <w:rsid w:val="000F030C"/>
    <w:rsid w:val="000F129C"/>
    <w:rsid w:val="00100B08"/>
    <w:rsid w:val="001056DE"/>
    <w:rsid w:val="001124C0"/>
    <w:rsid w:val="0013175F"/>
    <w:rsid w:val="001512B4"/>
    <w:rsid w:val="001620A5"/>
    <w:rsid w:val="00164E53"/>
    <w:rsid w:val="00166812"/>
    <w:rsid w:val="0016699D"/>
    <w:rsid w:val="00175159"/>
    <w:rsid w:val="00176208"/>
    <w:rsid w:val="00176406"/>
    <w:rsid w:val="0018211B"/>
    <w:rsid w:val="001840D3"/>
    <w:rsid w:val="001900F8"/>
    <w:rsid w:val="00191258"/>
    <w:rsid w:val="00192680"/>
    <w:rsid w:val="00193037"/>
    <w:rsid w:val="00193A2C"/>
    <w:rsid w:val="001A288E"/>
    <w:rsid w:val="001B6DC2"/>
    <w:rsid w:val="001C149C"/>
    <w:rsid w:val="001C21AC"/>
    <w:rsid w:val="001C47BA"/>
    <w:rsid w:val="001C59EA"/>
    <w:rsid w:val="001D406C"/>
    <w:rsid w:val="001D41EE"/>
    <w:rsid w:val="001E0380"/>
    <w:rsid w:val="001E13B1"/>
    <w:rsid w:val="001F3A19"/>
    <w:rsid w:val="00234467"/>
    <w:rsid w:val="00237D8D"/>
    <w:rsid w:val="00241DA2"/>
    <w:rsid w:val="00247FEE"/>
    <w:rsid w:val="00250E7D"/>
    <w:rsid w:val="002526C2"/>
    <w:rsid w:val="00253848"/>
    <w:rsid w:val="002543C4"/>
    <w:rsid w:val="002565D5"/>
    <w:rsid w:val="002622C0"/>
    <w:rsid w:val="00267B5E"/>
    <w:rsid w:val="002778AE"/>
    <w:rsid w:val="002819EA"/>
    <w:rsid w:val="0028269A"/>
    <w:rsid w:val="00283590"/>
    <w:rsid w:val="00286973"/>
    <w:rsid w:val="00294B9A"/>
    <w:rsid w:val="00294E70"/>
    <w:rsid w:val="002A1924"/>
    <w:rsid w:val="002A7420"/>
    <w:rsid w:val="002B0F12"/>
    <w:rsid w:val="002B1308"/>
    <w:rsid w:val="002B4554"/>
    <w:rsid w:val="002C72D8"/>
    <w:rsid w:val="002D11FA"/>
    <w:rsid w:val="002E0DDF"/>
    <w:rsid w:val="002E2906"/>
    <w:rsid w:val="002E5635"/>
    <w:rsid w:val="002E64C3"/>
    <w:rsid w:val="002E6A2C"/>
    <w:rsid w:val="002E70C9"/>
    <w:rsid w:val="002F1D8C"/>
    <w:rsid w:val="002F21DA"/>
    <w:rsid w:val="00301F39"/>
    <w:rsid w:val="003173C3"/>
    <w:rsid w:val="00321C67"/>
    <w:rsid w:val="00325926"/>
    <w:rsid w:val="00327A8A"/>
    <w:rsid w:val="00336610"/>
    <w:rsid w:val="00343F73"/>
    <w:rsid w:val="00345060"/>
    <w:rsid w:val="00347273"/>
    <w:rsid w:val="0035323B"/>
    <w:rsid w:val="00354641"/>
    <w:rsid w:val="00357ACC"/>
    <w:rsid w:val="003609D2"/>
    <w:rsid w:val="00363F22"/>
    <w:rsid w:val="00367856"/>
    <w:rsid w:val="00375564"/>
    <w:rsid w:val="003776DD"/>
    <w:rsid w:val="00383191"/>
    <w:rsid w:val="00385228"/>
    <w:rsid w:val="00386DED"/>
    <w:rsid w:val="003912E7"/>
    <w:rsid w:val="00393947"/>
    <w:rsid w:val="003A2275"/>
    <w:rsid w:val="003A6A4F"/>
    <w:rsid w:val="003A7088"/>
    <w:rsid w:val="003B00DF"/>
    <w:rsid w:val="003B1275"/>
    <w:rsid w:val="003B1778"/>
    <w:rsid w:val="003B65EF"/>
    <w:rsid w:val="003C11CB"/>
    <w:rsid w:val="003C75F3"/>
    <w:rsid w:val="003C78A3"/>
    <w:rsid w:val="003D10E7"/>
    <w:rsid w:val="003D279C"/>
    <w:rsid w:val="003E1867"/>
    <w:rsid w:val="003E5729"/>
    <w:rsid w:val="003F2DAB"/>
    <w:rsid w:val="003F3225"/>
    <w:rsid w:val="003F4EE0"/>
    <w:rsid w:val="00402153"/>
    <w:rsid w:val="00402FC1"/>
    <w:rsid w:val="00413E3E"/>
    <w:rsid w:val="00425082"/>
    <w:rsid w:val="00431DEB"/>
    <w:rsid w:val="00441B9A"/>
    <w:rsid w:val="00446B29"/>
    <w:rsid w:val="00453F9A"/>
    <w:rsid w:val="00471E91"/>
    <w:rsid w:val="00474675"/>
    <w:rsid w:val="0047470C"/>
    <w:rsid w:val="00476B98"/>
    <w:rsid w:val="00476DB8"/>
    <w:rsid w:val="00482907"/>
    <w:rsid w:val="004A35F9"/>
    <w:rsid w:val="004B24C1"/>
    <w:rsid w:val="004B73B1"/>
    <w:rsid w:val="004C292F"/>
    <w:rsid w:val="00510280"/>
    <w:rsid w:val="00513D73"/>
    <w:rsid w:val="00514A43"/>
    <w:rsid w:val="005174E5"/>
    <w:rsid w:val="00521D63"/>
    <w:rsid w:val="00522393"/>
    <w:rsid w:val="00522620"/>
    <w:rsid w:val="00525656"/>
    <w:rsid w:val="00534C02"/>
    <w:rsid w:val="00537D77"/>
    <w:rsid w:val="0054264B"/>
    <w:rsid w:val="00543786"/>
    <w:rsid w:val="005533D7"/>
    <w:rsid w:val="005703DE"/>
    <w:rsid w:val="0058464E"/>
    <w:rsid w:val="005A01CB"/>
    <w:rsid w:val="005A455E"/>
    <w:rsid w:val="005A58FF"/>
    <w:rsid w:val="005A5EAF"/>
    <w:rsid w:val="005A64C0"/>
    <w:rsid w:val="005B3C11"/>
    <w:rsid w:val="005C1C28"/>
    <w:rsid w:val="005C6DB5"/>
    <w:rsid w:val="005E19E7"/>
    <w:rsid w:val="005E7CD6"/>
    <w:rsid w:val="005F43D4"/>
    <w:rsid w:val="0061223D"/>
    <w:rsid w:val="0061716C"/>
    <w:rsid w:val="006243A1"/>
    <w:rsid w:val="00624E74"/>
    <w:rsid w:val="00625CF9"/>
    <w:rsid w:val="00632E56"/>
    <w:rsid w:val="00635CBA"/>
    <w:rsid w:val="0064338B"/>
    <w:rsid w:val="0064573E"/>
    <w:rsid w:val="00646542"/>
    <w:rsid w:val="006504F4"/>
    <w:rsid w:val="00654BC9"/>
    <w:rsid w:val="006552FD"/>
    <w:rsid w:val="00655E71"/>
    <w:rsid w:val="00663AF3"/>
    <w:rsid w:val="00666B6C"/>
    <w:rsid w:val="00672E0D"/>
    <w:rsid w:val="00682682"/>
    <w:rsid w:val="00682702"/>
    <w:rsid w:val="00690CC8"/>
    <w:rsid w:val="00692368"/>
    <w:rsid w:val="006A2EBC"/>
    <w:rsid w:val="006A5EA0"/>
    <w:rsid w:val="006A783B"/>
    <w:rsid w:val="006A7B33"/>
    <w:rsid w:val="006B4E13"/>
    <w:rsid w:val="006B75DD"/>
    <w:rsid w:val="006C67E0"/>
    <w:rsid w:val="006C7ABA"/>
    <w:rsid w:val="006D0D60"/>
    <w:rsid w:val="006D1122"/>
    <w:rsid w:val="006D3C00"/>
    <w:rsid w:val="006E3675"/>
    <w:rsid w:val="006E49DE"/>
    <w:rsid w:val="006E4A7F"/>
    <w:rsid w:val="00704DF6"/>
    <w:rsid w:val="0070651C"/>
    <w:rsid w:val="007132A3"/>
    <w:rsid w:val="00716421"/>
    <w:rsid w:val="00724EFB"/>
    <w:rsid w:val="00727F22"/>
    <w:rsid w:val="007419C3"/>
    <w:rsid w:val="007467A7"/>
    <w:rsid w:val="007469DD"/>
    <w:rsid w:val="0074741B"/>
    <w:rsid w:val="0074759E"/>
    <w:rsid w:val="007478EA"/>
    <w:rsid w:val="0075415C"/>
    <w:rsid w:val="00761949"/>
    <w:rsid w:val="00763502"/>
    <w:rsid w:val="007913AB"/>
    <w:rsid w:val="007914F7"/>
    <w:rsid w:val="007B1625"/>
    <w:rsid w:val="007B17AA"/>
    <w:rsid w:val="007B706E"/>
    <w:rsid w:val="007B71EB"/>
    <w:rsid w:val="007C6205"/>
    <w:rsid w:val="007C686A"/>
    <w:rsid w:val="007C728E"/>
    <w:rsid w:val="007D0DDC"/>
    <w:rsid w:val="007D2C53"/>
    <w:rsid w:val="007D2F34"/>
    <w:rsid w:val="007D3D60"/>
    <w:rsid w:val="007E1980"/>
    <w:rsid w:val="007E4B76"/>
    <w:rsid w:val="007E5EA8"/>
    <w:rsid w:val="007E7342"/>
    <w:rsid w:val="007F0C51"/>
    <w:rsid w:val="007F0CF1"/>
    <w:rsid w:val="007F12A5"/>
    <w:rsid w:val="007F4CF1"/>
    <w:rsid w:val="007F5FBE"/>
    <w:rsid w:val="007F758D"/>
    <w:rsid w:val="007F7D52"/>
    <w:rsid w:val="00802C4A"/>
    <w:rsid w:val="00803005"/>
    <w:rsid w:val="0080654C"/>
    <w:rsid w:val="00806A45"/>
    <w:rsid w:val="008071C6"/>
    <w:rsid w:val="00817A00"/>
    <w:rsid w:val="00835DB3"/>
    <w:rsid w:val="0083617B"/>
    <w:rsid w:val="0083684E"/>
    <w:rsid w:val="008371BD"/>
    <w:rsid w:val="008504A8"/>
    <w:rsid w:val="0085282E"/>
    <w:rsid w:val="00861974"/>
    <w:rsid w:val="0087198C"/>
    <w:rsid w:val="00872C1F"/>
    <w:rsid w:val="00873B42"/>
    <w:rsid w:val="00875B13"/>
    <w:rsid w:val="008856D8"/>
    <w:rsid w:val="00891907"/>
    <w:rsid w:val="00892E82"/>
    <w:rsid w:val="008A6CB1"/>
    <w:rsid w:val="008B6926"/>
    <w:rsid w:val="008B7ECE"/>
    <w:rsid w:val="008C1B58"/>
    <w:rsid w:val="008C39AE"/>
    <w:rsid w:val="008C590D"/>
    <w:rsid w:val="008C6565"/>
    <w:rsid w:val="008D69FB"/>
    <w:rsid w:val="008E031B"/>
    <w:rsid w:val="008E7029"/>
    <w:rsid w:val="008E7EF6"/>
    <w:rsid w:val="008F1F98"/>
    <w:rsid w:val="008F6758"/>
    <w:rsid w:val="009040DD"/>
    <w:rsid w:val="00905B47"/>
    <w:rsid w:val="0091331C"/>
    <w:rsid w:val="009279DE"/>
    <w:rsid w:val="00930116"/>
    <w:rsid w:val="0094212C"/>
    <w:rsid w:val="00954689"/>
    <w:rsid w:val="009617C9"/>
    <w:rsid w:val="00961C93"/>
    <w:rsid w:val="00965324"/>
    <w:rsid w:val="0097091E"/>
    <w:rsid w:val="009760D3"/>
    <w:rsid w:val="00977132"/>
    <w:rsid w:val="00981870"/>
    <w:rsid w:val="00981A4B"/>
    <w:rsid w:val="00982501"/>
    <w:rsid w:val="009877D3"/>
    <w:rsid w:val="00994E8F"/>
    <w:rsid w:val="009951DC"/>
    <w:rsid w:val="009959BB"/>
    <w:rsid w:val="00997158"/>
    <w:rsid w:val="0099781B"/>
    <w:rsid w:val="009A3A7C"/>
    <w:rsid w:val="009B2ADB"/>
    <w:rsid w:val="009B603A"/>
    <w:rsid w:val="009C2D0E"/>
    <w:rsid w:val="009C3DAC"/>
    <w:rsid w:val="009C42E0"/>
    <w:rsid w:val="009D5362"/>
    <w:rsid w:val="009E1415"/>
    <w:rsid w:val="009E6116"/>
    <w:rsid w:val="009F7645"/>
    <w:rsid w:val="00A02E43"/>
    <w:rsid w:val="00A065F9"/>
    <w:rsid w:val="00A07F34"/>
    <w:rsid w:val="00A22154"/>
    <w:rsid w:val="00A25C38"/>
    <w:rsid w:val="00A36BBE"/>
    <w:rsid w:val="00A4307A"/>
    <w:rsid w:val="00A45814"/>
    <w:rsid w:val="00A47EBB"/>
    <w:rsid w:val="00A51CDD"/>
    <w:rsid w:val="00A52124"/>
    <w:rsid w:val="00A61058"/>
    <w:rsid w:val="00A6730D"/>
    <w:rsid w:val="00A71625"/>
    <w:rsid w:val="00A71B9B"/>
    <w:rsid w:val="00A751C7"/>
    <w:rsid w:val="00A87844"/>
    <w:rsid w:val="00AA038C"/>
    <w:rsid w:val="00AA32E0"/>
    <w:rsid w:val="00AA7A09"/>
    <w:rsid w:val="00AB3B50"/>
    <w:rsid w:val="00AC05B1"/>
    <w:rsid w:val="00AD0D8E"/>
    <w:rsid w:val="00AD356C"/>
    <w:rsid w:val="00AE2914"/>
    <w:rsid w:val="00AE6D15"/>
    <w:rsid w:val="00AF61E8"/>
    <w:rsid w:val="00B04182"/>
    <w:rsid w:val="00B04458"/>
    <w:rsid w:val="00B07AE3"/>
    <w:rsid w:val="00B11430"/>
    <w:rsid w:val="00B3116C"/>
    <w:rsid w:val="00B353EB"/>
    <w:rsid w:val="00B439C4"/>
    <w:rsid w:val="00B440DC"/>
    <w:rsid w:val="00B4535E"/>
    <w:rsid w:val="00B52A8C"/>
    <w:rsid w:val="00B636A8"/>
    <w:rsid w:val="00B665C6"/>
    <w:rsid w:val="00B71165"/>
    <w:rsid w:val="00B805AF"/>
    <w:rsid w:val="00B869EC"/>
    <w:rsid w:val="00B9397A"/>
    <w:rsid w:val="00B9633D"/>
    <w:rsid w:val="00BA2EBE"/>
    <w:rsid w:val="00BA3F52"/>
    <w:rsid w:val="00BB0F28"/>
    <w:rsid w:val="00BB458A"/>
    <w:rsid w:val="00BD00D3"/>
    <w:rsid w:val="00BD1659"/>
    <w:rsid w:val="00BD3AA9"/>
    <w:rsid w:val="00BD4A18"/>
    <w:rsid w:val="00BD6DB2"/>
    <w:rsid w:val="00BE11CF"/>
    <w:rsid w:val="00BE21AB"/>
    <w:rsid w:val="00BE55CB"/>
    <w:rsid w:val="00BF617A"/>
    <w:rsid w:val="00C0379D"/>
    <w:rsid w:val="00C03931"/>
    <w:rsid w:val="00C05FE3"/>
    <w:rsid w:val="00C2136D"/>
    <w:rsid w:val="00C214EE"/>
    <w:rsid w:val="00C2314B"/>
    <w:rsid w:val="00C24971"/>
    <w:rsid w:val="00C26BE5"/>
    <w:rsid w:val="00C26E4D"/>
    <w:rsid w:val="00C27909"/>
    <w:rsid w:val="00C27B03"/>
    <w:rsid w:val="00C314E1"/>
    <w:rsid w:val="00C34397"/>
    <w:rsid w:val="00C4095D"/>
    <w:rsid w:val="00C526A7"/>
    <w:rsid w:val="00C601D2"/>
    <w:rsid w:val="00C657AB"/>
    <w:rsid w:val="00C65BCC"/>
    <w:rsid w:val="00C66970"/>
    <w:rsid w:val="00C82A70"/>
    <w:rsid w:val="00C8691C"/>
    <w:rsid w:val="00C92A01"/>
    <w:rsid w:val="00CA168A"/>
    <w:rsid w:val="00CA357E"/>
    <w:rsid w:val="00CA44F9"/>
    <w:rsid w:val="00CA4A69"/>
    <w:rsid w:val="00CB090B"/>
    <w:rsid w:val="00CC3E0C"/>
    <w:rsid w:val="00CC58D3"/>
    <w:rsid w:val="00CC784D"/>
    <w:rsid w:val="00CD7F22"/>
    <w:rsid w:val="00CF6616"/>
    <w:rsid w:val="00D0337B"/>
    <w:rsid w:val="00D079B2"/>
    <w:rsid w:val="00D114E9"/>
    <w:rsid w:val="00D429C6"/>
    <w:rsid w:val="00D47748"/>
    <w:rsid w:val="00D54CC3"/>
    <w:rsid w:val="00D6041A"/>
    <w:rsid w:val="00D633EB"/>
    <w:rsid w:val="00D71137"/>
    <w:rsid w:val="00D82FF7"/>
    <w:rsid w:val="00D847FE"/>
    <w:rsid w:val="00D964EA"/>
    <w:rsid w:val="00D966D0"/>
    <w:rsid w:val="00DA0C59"/>
    <w:rsid w:val="00DA3991"/>
    <w:rsid w:val="00DB7E6C"/>
    <w:rsid w:val="00DC16FF"/>
    <w:rsid w:val="00DD5A29"/>
    <w:rsid w:val="00DD5D9D"/>
    <w:rsid w:val="00DE35CB"/>
    <w:rsid w:val="00DF21E9"/>
    <w:rsid w:val="00E00F14"/>
    <w:rsid w:val="00E06386"/>
    <w:rsid w:val="00E11031"/>
    <w:rsid w:val="00E24EB4"/>
    <w:rsid w:val="00E320ED"/>
    <w:rsid w:val="00E33AFB"/>
    <w:rsid w:val="00E34218"/>
    <w:rsid w:val="00E3662C"/>
    <w:rsid w:val="00E46282"/>
    <w:rsid w:val="00E47D94"/>
    <w:rsid w:val="00E5216E"/>
    <w:rsid w:val="00E762E5"/>
    <w:rsid w:val="00E82344"/>
    <w:rsid w:val="00E84C82"/>
    <w:rsid w:val="00E84D64"/>
    <w:rsid w:val="00E87408"/>
    <w:rsid w:val="00E901D0"/>
    <w:rsid w:val="00E914C4"/>
    <w:rsid w:val="00E91631"/>
    <w:rsid w:val="00E934F5"/>
    <w:rsid w:val="00E96961"/>
    <w:rsid w:val="00EA72EC"/>
    <w:rsid w:val="00EB11CB"/>
    <w:rsid w:val="00EB275A"/>
    <w:rsid w:val="00EB786A"/>
    <w:rsid w:val="00EC1578"/>
    <w:rsid w:val="00EC1C72"/>
    <w:rsid w:val="00EC3CC9"/>
    <w:rsid w:val="00EC576D"/>
    <w:rsid w:val="00EC680A"/>
    <w:rsid w:val="00EE2BED"/>
    <w:rsid w:val="00EE374B"/>
    <w:rsid w:val="00F11BB5"/>
    <w:rsid w:val="00F1417B"/>
    <w:rsid w:val="00F2432B"/>
    <w:rsid w:val="00F34B99"/>
    <w:rsid w:val="00F45280"/>
    <w:rsid w:val="00F52DAB"/>
    <w:rsid w:val="00F543F0"/>
    <w:rsid w:val="00F81D29"/>
    <w:rsid w:val="00F91C4D"/>
    <w:rsid w:val="00F92FD9"/>
    <w:rsid w:val="00FA6684"/>
    <w:rsid w:val="00FA731E"/>
    <w:rsid w:val="00FB2B38"/>
    <w:rsid w:val="00FB61FD"/>
    <w:rsid w:val="00FC6358"/>
    <w:rsid w:val="00FD320D"/>
    <w:rsid w:val="00FE23DE"/>
    <w:rsid w:val="00FE4DDB"/>
    <w:rsid w:val="00FE501F"/>
    <w:rsid w:val="00FF134E"/>
    <w:rsid w:val="055109DF"/>
    <w:rsid w:val="092463E8"/>
    <w:rsid w:val="10EE3A7A"/>
    <w:rsid w:val="13531643"/>
    <w:rsid w:val="19B94556"/>
    <w:rsid w:val="1B050F56"/>
    <w:rsid w:val="24C2515D"/>
    <w:rsid w:val="2A9D0651"/>
    <w:rsid w:val="3181595A"/>
    <w:rsid w:val="395619DC"/>
    <w:rsid w:val="3B7D05D1"/>
    <w:rsid w:val="3FBD27AC"/>
    <w:rsid w:val="40FF1798"/>
    <w:rsid w:val="4160442A"/>
    <w:rsid w:val="465363FF"/>
    <w:rsid w:val="46CF6D57"/>
    <w:rsid w:val="48462D49"/>
    <w:rsid w:val="48720299"/>
    <w:rsid w:val="57B67E22"/>
    <w:rsid w:val="59311118"/>
    <w:rsid w:val="59B7189F"/>
    <w:rsid w:val="5AEB40F7"/>
    <w:rsid w:val="5D344821"/>
    <w:rsid w:val="6528266E"/>
    <w:rsid w:val="6767653C"/>
    <w:rsid w:val="68605304"/>
    <w:rsid w:val="6C1857DE"/>
    <w:rsid w:val="719278CC"/>
    <w:rsid w:val="74880BA2"/>
    <w:rsid w:val="795642B7"/>
    <w:rsid w:val="7BA13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semiHidden="0" w:name="index 1"/>
    <w:lsdException w:unhideWhenUsed="0" w:uiPriority="0" w:semiHidden="0" w:name="index 2"/>
    <w:lsdException w:qFormat="1" w:unhideWhenUsed="0" w:uiPriority="0" w:semiHidden="0" w:name="index 3"/>
    <w:lsdException w:qFormat="1" w:unhideWhenUsed="0" w:uiPriority="0" w:semiHidden="0" w:name="index 4"/>
    <w:lsdException w:qFormat="1" w:unhideWhenUsed="0" w:uiPriority="0" w:semiHidden="0" w:name="index 5"/>
    <w:lsdException w:qFormat="1" w:unhideWhenUsed="0" w:uiPriority="0" w:semiHidden="0" w:name="index 6"/>
    <w:lsdException w:qFormat="1" w:unhideWhenUsed="0" w:uiPriority="0" w:semiHidden="0" w:name="index 7"/>
    <w:lsdException w:qFormat="1" w:unhideWhenUsed="0" w:uiPriority="0" w:semiHidden="0" w:name="index 8"/>
    <w:lsdException w:qFormat="1" w:unhideWhenUsed="0" w:uiPriority="0" w:semiHidden="0" w:name="index 9"/>
    <w:lsdException w:qFormat="1" w:unhideWhenUsed="0" w:uiPriority="39" w:semiHidden="0" w:name="toc 1"/>
    <w:lsdException w:unhideWhenUsed="0" w:uiPriority="0" w:name="toc 2"/>
    <w:lsdException w:qFormat="1" w:unhideWhenUsed="0" w:uiPriority="0" w:name="toc 3"/>
    <w:lsdException w:qFormat="1" w:unhideWhenUsed="0" w:uiPriority="0" w:name="toc 4"/>
    <w:lsdException w:qFormat="1" w:unhideWhenUsed="0" w:uiPriority="0" w:name="toc 5"/>
    <w:lsdException w:qFormat="1" w:unhideWhenUsed="0" w:uiPriority="0" w:name="toc 6"/>
    <w:lsdException w:qFormat="1" w:unhideWhenUsed="0" w:uiPriority="0" w:name="toc 7"/>
    <w:lsdException w:qFormat="1" w:unhideWhenUsed="0" w:uiPriority="0" w:name="toc 8"/>
    <w:lsdException w:unhideWhenUsed="0" w:uiPriority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name="endnote reference"/>
    <w:lsdException w:qFormat="1" w:unhideWhenUsed="0" w:uiPriority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5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30">
    <w:name w:val="Default Paragraph Font"/>
    <w:semiHidden/>
    <w:unhideWhenUsed/>
    <w:uiPriority w:val="1"/>
  </w:style>
  <w:style w:type="table" w:default="1" w:styleId="3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7"/>
    <w:basedOn w:val="1"/>
    <w:next w:val="1"/>
    <w:semiHidden/>
    <w:qFormat/>
    <w:uiPriority w:val="0"/>
    <w:pPr>
      <w:tabs>
        <w:tab w:val="right" w:leader="dot" w:pos="9241"/>
      </w:tabs>
      <w:ind w:firstLine="505" w:firstLineChars="500"/>
      <w:jc w:val="left"/>
    </w:pPr>
    <w:rPr>
      <w:rFonts w:ascii="宋体"/>
      <w:szCs w:val="21"/>
    </w:rPr>
  </w:style>
  <w:style w:type="paragraph" w:styleId="4">
    <w:name w:val="index 8"/>
    <w:basedOn w:val="1"/>
    <w:next w:val="1"/>
    <w:qFormat/>
    <w:uiPriority w:val="0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5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6">
    <w:name w:val="index 5"/>
    <w:basedOn w:val="1"/>
    <w:next w:val="1"/>
    <w:qFormat/>
    <w:uiPriority w:val="0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7">
    <w:name w:val="Document Map"/>
    <w:basedOn w:val="1"/>
    <w:semiHidden/>
    <w:qFormat/>
    <w:uiPriority w:val="0"/>
    <w:pPr>
      <w:shd w:val="clear" w:color="auto" w:fill="000080"/>
    </w:pPr>
  </w:style>
  <w:style w:type="paragraph" w:styleId="8">
    <w:name w:val="index 6"/>
    <w:basedOn w:val="1"/>
    <w:next w:val="1"/>
    <w:qFormat/>
    <w:uiPriority w:val="0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9">
    <w:name w:val="index 4"/>
    <w:basedOn w:val="1"/>
    <w:next w:val="1"/>
    <w:qFormat/>
    <w:uiPriority w:val="0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10">
    <w:name w:val="toc 5"/>
    <w:basedOn w:val="1"/>
    <w:next w:val="1"/>
    <w:semiHidden/>
    <w:qFormat/>
    <w:uiPriority w:val="0"/>
    <w:pPr>
      <w:tabs>
        <w:tab w:val="right" w:leader="dot" w:pos="9241"/>
      </w:tabs>
      <w:ind w:firstLine="300" w:firstLineChars="300"/>
      <w:jc w:val="left"/>
    </w:pPr>
    <w:rPr>
      <w:rFonts w:ascii="宋体"/>
      <w:szCs w:val="21"/>
    </w:rPr>
  </w:style>
  <w:style w:type="paragraph" w:styleId="11">
    <w:name w:val="toc 3"/>
    <w:basedOn w:val="1"/>
    <w:next w:val="1"/>
    <w:semiHidden/>
    <w:qFormat/>
    <w:uiPriority w:val="0"/>
    <w:pPr>
      <w:tabs>
        <w:tab w:val="right" w:leader="dot" w:pos="9241"/>
      </w:tabs>
      <w:ind w:firstLine="102" w:firstLineChars="100"/>
      <w:jc w:val="left"/>
    </w:pPr>
    <w:rPr>
      <w:rFonts w:ascii="宋体"/>
      <w:szCs w:val="21"/>
    </w:rPr>
  </w:style>
  <w:style w:type="paragraph" w:styleId="12">
    <w:name w:val="toc 8"/>
    <w:basedOn w:val="1"/>
    <w:next w:val="1"/>
    <w:semiHidden/>
    <w:qFormat/>
    <w:uiPriority w:val="0"/>
    <w:pPr>
      <w:tabs>
        <w:tab w:val="right" w:leader="dot" w:pos="9241"/>
      </w:tabs>
      <w:ind w:firstLine="607" w:firstLineChars="600"/>
      <w:jc w:val="left"/>
    </w:pPr>
    <w:rPr>
      <w:rFonts w:ascii="宋体"/>
      <w:szCs w:val="21"/>
    </w:rPr>
  </w:style>
  <w:style w:type="paragraph" w:styleId="13">
    <w:name w:val="index 3"/>
    <w:basedOn w:val="1"/>
    <w:next w:val="1"/>
    <w:qFormat/>
    <w:uiPriority w:val="0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14">
    <w:name w:val="endnote text"/>
    <w:basedOn w:val="1"/>
    <w:semiHidden/>
    <w:qFormat/>
    <w:uiPriority w:val="0"/>
    <w:pPr>
      <w:snapToGrid w:val="0"/>
      <w:jc w:val="left"/>
    </w:pPr>
  </w:style>
  <w:style w:type="paragraph" w:styleId="15">
    <w:name w:val="Balloon Text"/>
    <w:basedOn w:val="1"/>
    <w:link w:val="134"/>
    <w:qFormat/>
    <w:uiPriority w:val="0"/>
    <w:rPr>
      <w:sz w:val="18"/>
      <w:szCs w:val="18"/>
    </w:rPr>
  </w:style>
  <w:style w:type="paragraph" w:styleId="16">
    <w:name w:val="footer"/>
    <w:basedOn w:val="1"/>
    <w:qFormat/>
    <w:uiPriority w:val="0"/>
    <w:pPr>
      <w:snapToGrid w:val="0"/>
      <w:ind w:right="210" w:rightChars="100"/>
      <w:jc w:val="right"/>
    </w:pPr>
    <w:rPr>
      <w:sz w:val="18"/>
      <w:szCs w:val="18"/>
    </w:rPr>
  </w:style>
  <w:style w:type="paragraph" w:styleId="17">
    <w:name w:val="header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18">
    <w:name w:val="toc 1"/>
    <w:basedOn w:val="1"/>
    <w:next w:val="1"/>
    <w:qFormat/>
    <w:uiPriority w:val="39"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styleId="19">
    <w:name w:val="toc 4"/>
    <w:basedOn w:val="1"/>
    <w:next w:val="1"/>
    <w:semiHidden/>
    <w:qFormat/>
    <w:uiPriority w:val="0"/>
    <w:pPr>
      <w:tabs>
        <w:tab w:val="right" w:leader="dot" w:pos="9241"/>
      </w:tabs>
      <w:ind w:firstLine="198" w:firstLineChars="200"/>
      <w:jc w:val="left"/>
    </w:pPr>
    <w:rPr>
      <w:rFonts w:ascii="宋体"/>
      <w:szCs w:val="21"/>
    </w:rPr>
  </w:style>
  <w:style w:type="paragraph" w:styleId="20">
    <w:name w:val="index heading"/>
    <w:basedOn w:val="1"/>
    <w:next w:val="21"/>
    <w:qFormat/>
    <w:uiPriority w:val="0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21">
    <w:name w:val="index 1"/>
    <w:basedOn w:val="1"/>
    <w:next w:val="22"/>
    <w:qFormat/>
    <w:uiPriority w:val="0"/>
    <w:pPr>
      <w:tabs>
        <w:tab w:val="right" w:leader="dot" w:pos="9299"/>
      </w:tabs>
      <w:jc w:val="left"/>
    </w:pPr>
    <w:rPr>
      <w:rFonts w:ascii="宋体"/>
      <w:szCs w:val="21"/>
    </w:rPr>
  </w:style>
  <w:style w:type="paragraph" w:customStyle="1" w:styleId="22">
    <w:name w:val="段"/>
    <w:link w:val="38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styleId="23">
    <w:name w:val="footnote text"/>
    <w:basedOn w:val="1"/>
    <w:qFormat/>
    <w:uiPriority w:val="0"/>
    <w:pPr>
      <w:numPr>
        <w:ilvl w:val="0"/>
        <w:numId w:val="1"/>
      </w:numPr>
      <w:snapToGrid w:val="0"/>
      <w:jc w:val="left"/>
    </w:pPr>
    <w:rPr>
      <w:rFonts w:ascii="宋体"/>
      <w:sz w:val="18"/>
      <w:szCs w:val="18"/>
    </w:rPr>
  </w:style>
  <w:style w:type="paragraph" w:styleId="24">
    <w:name w:val="toc 6"/>
    <w:basedOn w:val="1"/>
    <w:next w:val="1"/>
    <w:semiHidden/>
    <w:qFormat/>
    <w:uiPriority w:val="0"/>
    <w:pPr>
      <w:tabs>
        <w:tab w:val="right" w:leader="dot" w:pos="9241"/>
      </w:tabs>
      <w:ind w:firstLine="403" w:firstLineChars="400"/>
      <w:jc w:val="left"/>
    </w:pPr>
    <w:rPr>
      <w:rFonts w:ascii="宋体"/>
      <w:szCs w:val="21"/>
    </w:rPr>
  </w:style>
  <w:style w:type="paragraph" w:styleId="25">
    <w:name w:val="index 7"/>
    <w:basedOn w:val="1"/>
    <w:next w:val="1"/>
    <w:qFormat/>
    <w:uiPriority w:val="0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26">
    <w:name w:val="index 9"/>
    <w:basedOn w:val="1"/>
    <w:next w:val="1"/>
    <w:qFormat/>
    <w:uiPriority w:val="0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27">
    <w:name w:val="toc 2"/>
    <w:basedOn w:val="1"/>
    <w:next w:val="1"/>
    <w:semiHidden/>
    <w:uiPriority w:val="0"/>
    <w:pPr>
      <w:tabs>
        <w:tab w:val="right" w:leader="dot" w:pos="9241"/>
      </w:tabs>
    </w:pPr>
    <w:rPr>
      <w:rFonts w:ascii="宋体"/>
      <w:szCs w:val="21"/>
    </w:rPr>
  </w:style>
  <w:style w:type="paragraph" w:styleId="28">
    <w:name w:val="toc 9"/>
    <w:basedOn w:val="1"/>
    <w:next w:val="1"/>
    <w:semiHidden/>
    <w:uiPriority w:val="0"/>
    <w:pPr>
      <w:ind w:left="1470"/>
      <w:jc w:val="left"/>
    </w:pPr>
    <w:rPr>
      <w:sz w:val="20"/>
      <w:szCs w:val="20"/>
    </w:rPr>
  </w:style>
  <w:style w:type="paragraph" w:styleId="29">
    <w:name w:val="index 2"/>
    <w:basedOn w:val="1"/>
    <w:next w:val="1"/>
    <w:uiPriority w:val="0"/>
    <w:pPr>
      <w:ind w:left="420" w:hanging="210"/>
      <w:jc w:val="left"/>
    </w:pPr>
    <w:rPr>
      <w:rFonts w:ascii="Calibri" w:hAnsi="Calibri"/>
      <w:sz w:val="20"/>
      <w:szCs w:val="20"/>
    </w:rPr>
  </w:style>
  <w:style w:type="character" w:styleId="31">
    <w:name w:val="endnote reference"/>
    <w:basedOn w:val="30"/>
    <w:semiHidden/>
    <w:uiPriority w:val="0"/>
    <w:rPr>
      <w:vertAlign w:val="superscript"/>
    </w:rPr>
  </w:style>
  <w:style w:type="character" w:styleId="32">
    <w:name w:val="page number"/>
    <w:basedOn w:val="30"/>
    <w:uiPriority w:val="0"/>
    <w:rPr>
      <w:rFonts w:ascii="Times New Roman" w:hAnsi="Times New Roman" w:eastAsia="宋体"/>
      <w:sz w:val="18"/>
    </w:rPr>
  </w:style>
  <w:style w:type="character" w:styleId="33">
    <w:name w:val="FollowedHyperlink"/>
    <w:basedOn w:val="30"/>
    <w:uiPriority w:val="0"/>
    <w:rPr>
      <w:color w:val="800080"/>
      <w:u w:val="single"/>
    </w:rPr>
  </w:style>
  <w:style w:type="character" w:styleId="34">
    <w:name w:val="Hyperlink"/>
    <w:basedOn w:val="30"/>
    <w:uiPriority w:val="99"/>
    <w:rPr>
      <w:color w:val="0000FF"/>
      <w:spacing w:val="0"/>
      <w:w w:val="100"/>
      <w:szCs w:val="21"/>
      <w:u w:val="single"/>
    </w:rPr>
  </w:style>
  <w:style w:type="character" w:styleId="35">
    <w:name w:val="footnote reference"/>
    <w:basedOn w:val="30"/>
    <w:semiHidden/>
    <w:uiPriority w:val="0"/>
    <w:rPr>
      <w:vertAlign w:val="superscript"/>
    </w:rPr>
  </w:style>
  <w:style w:type="table" w:styleId="37">
    <w:name w:val="Table Grid"/>
    <w:basedOn w:val="36"/>
    <w:qFormat/>
    <w:uiPriority w:val="0"/>
    <w:rPr>
      <w:rFonts w:ascii="宋体"/>
      <w:sz w:val="18"/>
      <w:szCs w:val="18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8">
    <w:name w:val="段 Char"/>
    <w:basedOn w:val="30"/>
    <w:link w:val="22"/>
    <w:qFormat/>
    <w:uiPriority w:val="0"/>
    <w:rPr>
      <w:rFonts w:ascii="宋体"/>
      <w:sz w:val="21"/>
      <w:lang w:val="en-US" w:eastAsia="zh-CN" w:bidi="ar-SA"/>
    </w:rPr>
  </w:style>
  <w:style w:type="paragraph" w:customStyle="1" w:styleId="39">
    <w:name w:val="一级条标题"/>
    <w:next w:val="22"/>
    <w:qFormat/>
    <w:uiPriority w:val="0"/>
    <w:pPr>
      <w:numPr>
        <w:ilvl w:val="1"/>
        <w:numId w:val="2"/>
      </w:numPr>
      <w:spacing w:beforeLines="50" w:afterLines="50"/>
      <w:ind w:left="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40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41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42">
    <w:name w:val="章标题"/>
    <w:next w:val="22"/>
    <w:qFormat/>
    <w:uiPriority w:val="0"/>
    <w:pPr>
      <w:numPr>
        <w:ilvl w:val="0"/>
        <w:numId w:val="2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43">
    <w:name w:val="二级条标题"/>
    <w:basedOn w:val="39"/>
    <w:next w:val="22"/>
    <w:qFormat/>
    <w:uiPriority w:val="0"/>
    <w:pPr>
      <w:numPr>
        <w:ilvl w:val="2"/>
      </w:numPr>
      <w:spacing w:before="50" w:after="50"/>
      <w:outlineLvl w:val="3"/>
    </w:pPr>
  </w:style>
  <w:style w:type="paragraph" w:customStyle="1" w:styleId="44">
    <w:name w:val="封面标准号2"/>
    <w:qFormat/>
    <w:uiPriority w:val="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hAnsi="Times New Roman" w:eastAsia="黑体" w:cs="Times New Roman"/>
      <w:sz w:val="28"/>
      <w:szCs w:val="28"/>
      <w:lang w:val="en-US" w:eastAsia="zh-CN" w:bidi="ar-SA"/>
    </w:rPr>
  </w:style>
  <w:style w:type="paragraph" w:customStyle="1" w:styleId="45">
    <w:name w:val="列项——（一级）"/>
    <w:qFormat/>
    <w:uiPriority w:val="0"/>
    <w:pPr>
      <w:widowControl w:val="0"/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46">
    <w:name w:val="列项●（二级）"/>
    <w:qFormat/>
    <w:uiPriority w:val="0"/>
    <w:pPr>
      <w:numPr>
        <w:ilvl w:val="1"/>
        <w:numId w:val="3"/>
      </w:numPr>
      <w:tabs>
        <w:tab w:val="left" w:pos="840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47">
    <w:name w:val="目次、标准名称标题"/>
    <w:basedOn w:val="1"/>
    <w:next w:val="22"/>
    <w:qFormat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48">
    <w:name w:val="三级条标题"/>
    <w:basedOn w:val="43"/>
    <w:next w:val="22"/>
    <w:qFormat/>
    <w:uiPriority w:val="0"/>
    <w:pPr>
      <w:numPr>
        <w:ilvl w:val="3"/>
      </w:numPr>
      <w:outlineLvl w:val="4"/>
    </w:pPr>
  </w:style>
  <w:style w:type="paragraph" w:customStyle="1" w:styleId="49">
    <w:name w:val="示例"/>
    <w:next w:val="50"/>
    <w:qFormat/>
    <w:uiPriority w:val="0"/>
    <w:pPr>
      <w:widowControl w:val="0"/>
      <w:numPr>
        <w:ilvl w:val="0"/>
        <w:numId w:val="4"/>
      </w:numPr>
      <w:jc w:val="both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50">
    <w:name w:val="示例内容"/>
    <w:qFormat/>
    <w:uiPriority w:val="0"/>
    <w:pPr>
      <w:ind w:firstLine="200" w:firstLineChars="200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51">
    <w:name w:val="数字编号列项（二级）"/>
    <w:qFormat/>
    <w:uiPriority w:val="0"/>
    <w:pPr>
      <w:numPr>
        <w:ilvl w:val="1"/>
        <w:numId w:val="5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52">
    <w:name w:val="四级条标题"/>
    <w:basedOn w:val="48"/>
    <w:next w:val="22"/>
    <w:qFormat/>
    <w:uiPriority w:val="0"/>
    <w:pPr>
      <w:numPr>
        <w:ilvl w:val="4"/>
      </w:numPr>
      <w:outlineLvl w:val="5"/>
    </w:pPr>
  </w:style>
  <w:style w:type="paragraph" w:customStyle="1" w:styleId="53">
    <w:name w:val="五级条标题"/>
    <w:basedOn w:val="52"/>
    <w:next w:val="22"/>
    <w:qFormat/>
    <w:uiPriority w:val="0"/>
    <w:pPr>
      <w:numPr>
        <w:ilvl w:val="5"/>
      </w:numPr>
      <w:outlineLvl w:val="6"/>
    </w:pPr>
  </w:style>
  <w:style w:type="paragraph" w:customStyle="1" w:styleId="54">
    <w:name w:val="注："/>
    <w:next w:val="22"/>
    <w:qFormat/>
    <w:uiPriority w:val="0"/>
    <w:pPr>
      <w:widowControl w:val="0"/>
      <w:numPr>
        <w:ilvl w:val="0"/>
        <w:numId w:val="6"/>
      </w:numPr>
      <w:autoSpaceDE w:val="0"/>
      <w:autoSpaceDN w:val="0"/>
      <w:jc w:val="both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55">
    <w:name w:val="注×："/>
    <w:qFormat/>
    <w:uiPriority w:val="0"/>
    <w:pPr>
      <w:widowControl w:val="0"/>
      <w:numPr>
        <w:ilvl w:val="0"/>
        <w:numId w:val="7"/>
      </w:numPr>
      <w:autoSpaceDE w:val="0"/>
      <w:autoSpaceDN w:val="0"/>
      <w:jc w:val="both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56">
    <w:name w:val="字母编号列项（一级）"/>
    <w:qFormat/>
    <w:uiPriority w:val="0"/>
    <w:pPr>
      <w:numPr>
        <w:ilvl w:val="0"/>
        <w:numId w:val="5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57">
    <w:name w:val="列项◆（三级）"/>
    <w:basedOn w:val="1"/>
    <w:qFormat/>
    <w:uiPriority w:val="0"/>
    <w:pPr>
      <w:numPr>
        <w:ilvl w:val="2"/>
        <w:numId w:val="3"/>
      </w:numPr>
    </w:pPr>
    <w:rPr>
      <w:rFonts w:ascii="宋体"/>
      <w:szCs w:val="21"/>
    </w:rPr>
  </w:style>
  <w:style w:type="paragraph" w:customStyle="1" w:styleId="58">
    <w:name w:val="编号列项（三级）"/>
    <w:qFormat/>
    <w:uiPriority w:val="0"/>
    <w:pPr>
      <w:numPr>
        <w:ilvl w:val="2"/>
        <w:numId w:val="5"/>
      </w:numPr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59">
    <w:name w:val="示例×："/>
    <w:basedOn w:val="42"/>
    <w:qFormat/>
    <w:uiPriority w:val="0"/>
    <w:pPr>
      <w:numPr>
        <w:numId w:val="8"/>
      </w:numPr>
      <w:spacing w:beforeLines="0" w:afterLines="0"/>
      <w:outlineLvl w:val="9"/>
    </w:pPr>
    <w:rPr>
      <w:rFonts w:ascii="宋体" w:eastAsia="宋体"/>
      <w:sz w:val="18"/>
      <w:szCs w:val="18"/>
    </w:rPr>
  </w:style>
  <w:style w:type="paragraph" w:customStyle="1" w:styleId="60">
    <w:name w:val="二级无"/>
    <w:basedOn w:val="43"/>
    <w:qFormat/>
    <w:uiPriority w:val="0"/>
    <w:pPr>
      <w:spacing w:beforeLines="0" w:afterLines="0"/>
    </w:pPr>
    <w:rPr>
      <w:rFonts w:ascii="宋体" w:eastAsia="宋体"/>
    </w:rPr>
  </w:style>
  <w:style w:type="paragraph" w:customStyle="1" w:styleId="61">
    <w:name w:val="注：（正文）"/>
    <w:basedOn w:val="54"/>
    <w:next w:val="22"/>
    <w:qFormat/>
    <w:uiPriority w:val="0"/>
  </w:style>
  <w:style w:type="paragraph" w:customStyle="1" w:styleId="62">
    <w:name w:val="注×：（正文）"/>
    <w:qFormat/>
    <w:uiPriority w:val="0"/>
    <w:pPr>
      <w:numPr>
        <w:ilvl w:val="0"/>
        <w:numId w:val="9"/>
      </w:numPr>
      <w:jc w:val="both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63">
    <w:name w:val="标准标志"/>
    <w:next w:val="1"/>
    <w:qFormat/>
    <w:uiPriority w:val="0"/>
    <w:pPr>
      <w:framePr w:w="2546" w:h="1389" w:hRule="exact" w:hSpace="181" w:vSpace="181" w:wrap="around" w:vAnchor="margin" w:hAnchor="margin" w:x="6522" w:y="398" w:anchorLock="1"/>
      <w:shd w:val="solid" w:color="FFFFFF" w:fill="FFFFFF"/>
      <w:spacing w:line="0" w:lineRule="atLeast"/>
      <w:jc w:val="right"/>
    </w:pPr>
    <w:rPr>
      <w:rFonts w:ascii="Times New Roman" w:hAnsi="Times New Roman" w:eastAsia="宋体" w:cs="Times New Roman"/>
      <w:b/>
      <w:w w:val="170"/>
      <w:sz w:val="96"/>
      <w:szCs w:val="96"/>
      <w:lang w:val="en-US" w:eastAsia="zh-CN" w:bidi="ar-SA"/>
    </w:rPr>
  </w:style>
  <w:style w:type="paragraph" w:customStyle="1" w:styleId="64">
    <w:name w:val="标准称谓"/>
    <w:next w:val="1"/>
    <w:qFormat/>
    <w:uiPriority w:val="0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 w:hAnsi="Times New Roman" w:eastAsia="宋体" w:cs="Times New Roman"/>
      <w:b/>
      <w:bCs/>
      <w:spacing w:val="20"/>
      <w:w w:val="148"/>
      <w:sz w:val="48"/>
      <w:lang w:val="en-US" w:eastAsia="zh-CN" w:bidi="ar-SA"/>
    </w:rPr>
  </w:style>
  <w:style w:type="paragraph" w:customStyle="1" w:styleId="65">
    <w:name w:val="标准书脚_偶数页"/>
    <w:qFormat/>
    <w:uiPriority w:val="0"/>
    <w:pPr>
      <w:spacing w:before="120"/>
      <w:ind w:left="221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66">
    <w:name w:val="标准书眉_偶数页"/>
    <w:basedOn w:val="41"/>
    <w:next w:val="1"/>
    <w:uiPriority w:val="0"/>
    <w:pPr>
      <w:jc w:val="left"/>
    </w:pPr>
  </w:style>
  <w:style w:type="paragraph" w:customStyle="1" w:styleId="67">
    <w:name w:val="标准书眉一"/>
    <w:uiPriority w:val="0"/>
    <w:pPr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68">
    <w:name w:val="参考文献"/>
    <w:basedOn w:val="1"/>
    <w:next w:val="22"/>
    <w:qFormat/>
    <w:uiPriority w:val="0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69">
    <w:name w:val="参考文献、索引标题"/>
    <w:basedOn w:val="1"/>
    <w:next w:val="22"/>
    <w:qFormat/>
    <w:uiPriority w:val="0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customStyle="1" w:styleId="70">
    <w:name w:val="发布"/>
    <w:basedOn w:val="30"/>
    <w:uiPriority w:val="0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71">
    <w:name w:val="发布部门"/>
    <w:next w:val="22"/>
    <w:uiPriority w:val="0"/>
    <w:pPr>
      <w:framePr w:w="7938" w:h="1134" w:hRule="exact" w:hSpace="125" w:vSpace="181" w:wrap="around" w:vAnchor="page" w:hAnchor="page" w:x="2150" w:y="14630" w:anchorLock="1"/>
      <w:jc w:val="center"/>
    </w:pPr>
    <w:rPr>
      <w:rFonts w:ascii="宋体" w:hAnsi="Times New Roman" w:eastAsia="宋体" w:cs="Times New Roman"/>
      <w:b/>
      <w:spacing w:val="20"/>
      <w:w w:val="135"/>
      <w:sz w:val="28"/>
      <w:lang w:val="en-US" w:eastAsia="zh-CN" w:bidi="ar-SA"/>
    </w:rPr>
  </w:style>
  <w:style w:type="paragraph" w:customStyle="1" w:styleId="72">
    <w:name w:val="发布日期"/>
    <w:uiPriority w:val="0"/>
    <w:pPr>
      <w:framePr w:w="3997" w:h="471" w:hRule="exact" w:vSpace="181" w:wrap="around" w:vAnchor="margin" w:hAnchor="page" w:x="7089" w:y="14097" w:anchorLock="1"/>
    </w:pPr>
    <w:rPr>
      <w:rFonts w:ascii="Times New Roman" w:hAnsi="Times New Roman" w:eastAsia="黑体" w:cs="Times New Roman"/>
      <w:sz w:val="28"/>
      <w:lang w:val="en-US" w:eastAsia="zh-CN" w:bidi="ar-SA"/>
    </w:rPr>
  </w:style>
  <w:style w:type="paragraph" w:customStyle="1" w:styleId="73">
    <w:name w:val="封面标准代替信息"/>
    <w:uiPriority w:val="0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74">
    <w:name w:val="封面标准号1"/>
    <w:uiPriority w:val="0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rFonts w:ascii="Times New Roman" w:hAnsi="Times New Roman" w:eastAsia="宋体" w:cs="Times New Roman"/>
      <w:sz w:val="28"/>
      <w:lang w:val="en-US" w:eastAsia="zh-CN" w:bidi="ar-SA"/>
    </w:rPr>
  </w:style>
  <w:style w:type="paragraph" w:customStyle="1" w:styleId="75">
    <w:name w:val="封面标准名称"/>
    <w:uiPriority w:val="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customStyle="1" w:styleId="76">
    <w:name w:val="封面标准英文名称"/>
    <w:basedOn w:val="75"/>
    <w:uiPriority w:val="0"/>
    <w:pPr>
      <w:spacing w:before="370" w:line="400" w:lineRule="exact"/>
    </w:pPr>
    <w:rPr>
      <w:rFonts w:ascii="Times New Roman"/>
      <w:sz w:val="28"/>
      <w:szCs w:val="28"/>
    </w:rPr>
  </w:style>
  <w:style w:type="paragraph" w:customStyle="1" w:styleId="77">
    <w:name w:val="封面一致性程度标识"/>
    <w:basedOn w:val="76"/>
    <w:uiPriority w:val="0"/>
    <w:pPr>
      <w:spacing w:before="440"/>
    </w:pPr>
    <w:rPr>
      <w:rFonts w:ascii="宋体" w:eastAsia="宋体"/>
    </w:rPr>
  </w:style>
  <w:style w:type="paragraph" w:customStyle="1" w:styleId="78">
    <w:name w:val="封面标准文稿类别"/>
    <w:basedOn w:val="77"/>
    <w:uiPriority w:val="0"/>
    <w:pPr>
      <w:spacing w:after="160" w:line="240" w:lineRule="auto"/>
    </w:pPr>
    <w:rPr>
      <w:sz w:val="24"/>
    </w:rPr>
  </w:style>
  <w:style w:type="paragraph" w:customStyle="1" w:styleId="79">
    <w:name w:val="封面标准文稿编辑信息"/>
    <w:basedOn w:val="78"/>
    <w:uiPriority w:val="0"/>
    <w:pPr>
      <w:spacing w:before="180" w:line="180" w:lineRule="exact"/>
    </w:pPr>
    <w:rPr>
      <w:sz w:val="21"/>
    </w:rPr>
  </w:style>
  <w:style w:type="paragraph" w:customStyle="1" w:styleId="80">
    <w:name w:val="封面正文"/>
    <w:uiPriority w:val="0"/>
    <w:pPr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81">
    <w:name w:val="附录标识"/>
    <w:basedOn w:val="1"/>
    <w:next w:val="22"/>
    <w:uiPriority w:val="0"/>
    <w:pPr>
      <w:keepNext/>
      <w:widowControl/>
      <w:numPr>
        <w:ilvl w:val="0"/>
        <w:numId w:val="10"/>
      </w:numPr>
      <w:shd w:val="clear" w:color="FFFFFF" w:fill="FFFFFF"/>
      <w:tabs>
        <w:tab w:val="left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82">
    <w:name w:val="附录标题"/>
    <w:basedOn w:val="22"/>
    <w:next w:val="22"/>
    <w:uiPriority w:val="0"/>
    <w:pPr>
      <w:ind w:firstLine="0" w:firstLineChars="0"/>
      <w:jc w:val="center"/>
    </w:pPr>
    <w:rPr>
      <w:rFonts w:ascii="黑体" w:eastAsia="黑体"/>
    </w:rPr>
  </w:style>
  <w:style w:type="paragraph" w:customStyle="1" w:styleId="83">
    <w:name w:val="附录表标号"/>
    <w:basedOn w:val="1"/>
    <w:next w:val="22"/>
    <w:uiPriority w:val="0"/>
    <w:pPr>
      <w:numPr>
        <w:ilvl w:val="0"/>
        <w:numId w:val="11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84">
    <w:name w:val="附录表标题"/>
    <w:basedOn w:val="1"/>
    <w:next w:val="22"/>
    <w:uiPriority w:val="0"/>
    <w:pPr>
      <w:numPr>
        <w:ilvl w:val="1"/>
        <w:numId w:val="11"/>
      </w:numPr>
      <w:tabs>
        <w:tab w:val="left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85">
    <w:name w:val="附录二级条标题"/>
    <w:basedOn w:val="1"/>
    <w:next w:val="22"/>
    <w:uiPriority w:val="0"/>
    <w:pPr>
      <w:widowControl/>
      <w:numPr>
        <w:ilvl w:val="3"/>
        <w:numId w:val="10"/>
      </w:numPr>
      <w:tabs>
        <w:tab w:val="left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86">
    <w:name w:val="附录二级无"/>
    <w:basedOn w:val="85"/>
    <w:uiPriority w:val="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87">
    <w:name w:val="附录公式"/>
    <w:basedOn w:val="22"/>
    <w:next w:val="22"/>
    <w:link w:val="88"/>
    <w:qFormat/>
    <w:uiPriority w:val="0"/>
  </w:style>
  <w:style w:type="character" w:customStyle="1" w:styleId="88">
    <w:name w:val="附录公式 Char"/>
    <w:basedOn w:val="38"/>
    <w:link w:val="87"/>
    <w:uiPriority w:val="0"/>
  </w:style>
  <w:style w:type="paragraph" w:customStyle="1" w:styleId="89">
    <w:name w:val="附录公式编号制表符"/>
    <w:basedOn w:val="1"/>
    <w:next w:val="22"/>
    <w:qFormat/>
    <w:uiPriority w:val="0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kern w:val="0"/>
      <w:szCs w:val="20"/>
    </w:rPr>
  </w:style>
  <w:style w:type="paragraph" w:customStyle="1" w:styleId="90">
    <w:name w:val="附录三级条标题"/>
    <w:basedOn w:val="85"/>
    <w:next w:val="22"/>
    <w:uiPriority w:val="0"/>
    <w:pPr>
      <w:numPr>
        <w:ilvl w:val="4"/>
      </w:numPr>
      <w:outlineLvl w:val="4"/>
    </w:pPr>
  </w:style>
  <w:style w:type="paragraph" w:customStyle="1" w:styleId="91">
    <w:name w:val="附录三级无"/>
    <w:basedOn w:val="90"/>
    <w:uiPriority w:val="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92">
    <w:name w:val="附录数字编号列项（二级）"/>
    <w:qFormat/>
    <w:uiPriority w:val="0"/>
    <w:pPr>
      <w:numPr>
        <w:ilvl w:val="1"/>
        <w:numId w:val="12"/>
      </w:numPr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93">
    <w:name w:val="附录四级条标题"/>
    <w:basedOn w:val="90"/>
    <w:next w:val="22"/>
    <w:qFormat/>
    <w:uiPriority w:val="0"/>
    <w:pPr>
      <w:numPr>
        <w:ilvl w:val="5"/>
      </w:numPr>
      <w:outlineLvl w:val="5"/>
    </w:pPr>
  </w:style>
  <w:style w:type="paragraph" w:customStyle="1" w:styleId="94">
    <w:name w:val="附录四级无"/>
    <w:basedOn w:val="93"/>
    <w:uiPriority w:val="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95">
    <w:name w:val="附录图标号"/>
    <w:basedOn w:val="1"/>
    <w:uiPriority w:val="0"/>
    <w:pPr>
      <w:keepNext/>
      <w:pageBreakBefore/>
      <w:widowControl/>
      <w:numPr>
        <w:ilvl w:val="0"/>
        <w:numId w:val="13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96">
    <w:name w:val="附录图标题"/>
    <w:basedOn w:val="1"/>
    <w:next w:val="22"/>
    <w:qFormat/>
    <w:uiPriority w:val="0"/>
    <w:pPr>
      <w:numPr>
        <w:ilvl w:val="1"/>
        <w:numId w:val="13"/>
      </w:numPr>
      <w:tabs>
        <w:tab w:val="left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97">
    <w:name w:val="附录五级条标题"/>
    <w:basedOn w:val="93"/>
    <w:next w:val="22"/>
    <w:uiPriority w:val="0"/>
    <w:pPr>
      <w:numPr>
        <w:ilvl w:val="6"/>
      </w:numPr>
      <w:outlineLvl w:val="6"/>
    </w:pPr>
  </w:style>
  <w:style w:type="paragraph" w:customStyle="1" w:styleId="98">
    <w:name w:val="附录五级无"/>
    <w:basedOn w:val="97"/>
    <w:uiPriority w:val="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99">
    <w:name w:val="附录章标题"/>
    <w:next w:val="22"/>
    <w:uiPriority w:val="0"/>
    <w:pPr>
      <w:numPr>
        <w:ilvl w:val="1"/>
        <w:numId w:val="10"/>
      </w:numPr>
      <w:tabs>
        <w:tab w:val="left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hAnsi="Times New Roman" w:eastAsia="黑体" w:cs="Times New Roman"/>
      <w:kern w:val="21"/>
      <w:sz w:val="21"/>
      <w:lang w:val="en-US" w:eastAsia="zh-CN" w:bidi="ar-SA"/>
    </w:rPr>
  </w:style>
  <w:style w:type="paragraph" w:customStyle="1" w:styleId="100">
    <w:name w:val="附录一级条标题"/>
    <w:basedOn w:val="99"/>
    <w:next w:val="22"/>
    <w:uiPriority w:val="0"/>
    <w:pPr>
      <w:numPr>
        <w:ilvl w:val="2"/>
      </w:numPr>
      <w:autoSpaceDN w:val="0"/>
      <w:spacing w:beforeLines="50" w:afterLines="50"/>
      <w:outlineLvl w:val="2"/>
    </w:pPr>
  </w:style>
  <w:style w:type="paragraph" w:customStyle="1" w:styleId="101">
    <w:name w:val="附录一级无"/>
    <w:basedOn w:val="100"/>
    <w:uiPriority w:val="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102">
    <w:name w:val="附录字母编号列项（一级）"/>
    <w:qFormat/>
    <w:uiPriority w:val="0"/>
    <w:pPr>
      <w:numPr>
        <w:ilvl w:val="0"/>
        <w:numId w:val="12"/>
      </w:numPr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03">
    <w:name w:val="列项说明"/>
    <w:basedOn w:val="1"/>
    <w:uiPriority w:val="0"/>
    <w:pPr>
      <w:adjustRightInd w:val="0"/>
      <w:spacing w:line="320" w:lineRule="exact"/>
      <w:ind w:left="400" w:leftChars="200" w:hanging="200" w:hangingChars="200"/>
      <w:jc w:val="left"/>
      <w:textAlignment w:val="baseline"/>
    </w:pPr>
    <w:rPr>
      <w:rFonts w:ascii="宋体"/>
      <w:kern w:val="0"/>
      <w:szCs w:val="20"/>
    </w:rPr>
  </w:style>
  <w:style w:type="paragraph" w:customStyle="1" w:styleId="104">
    <w:name w:val="列项说明数字编号"/>
    <w:uiPriority w:val="0"/>
    <w:pPr>
      <w:ind w:left="600" w:leftChars="400" w:hanging="200" w:hangingChars="200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05">
    <w:name w:val="目次、索引正文"/>
    <w:uiPriority w:val="0"/>
    <w:pPr>
      <w:spacing w:line="320" w:lineRule="exact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06">
    <w:name w:val="其他标准标志"/>
    <w:basedOn w:val="63"/>
    <w:uiPriority w:val="0"/>
    <w:pPr>
      <w:framePr w:w="6101" w:vAnchor="page" w:hAnchor="page" w:x="4673" w:y="942"/>
    </w:pPr>
    <w:rPr>
      <w:w w:val="130"/>
    </w:rPr>
  </w:style>
  <w:style w:type="paragraph" w:customStyle="1" w:styleId="107">
    <w:name w:val="其他标准称谓"/>
    <w:next w:val="1"/>
    <w:uiPriority w:val="0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hAnsi="宋体" w:eastAsia="黑体" w:cs="Times New Roman"/>
      <w:spacing w:val="-40"/>
      <w:sz w:val="48"/>
      <w:szCs w:val="52"/>
      <w:lang w:val="en-US" w:eastAsia="zh-CN" w:bidi="ar-SA"/>
    </w:rPr>
  </w:style>
  <w:style w:type="paragraph" w:customStyle="1" w:styleId="108">
    <w:name w:val="其他发布部门"/>
    <w:basedOn w:val="71"/>
    <w:uiPriority w:val="0"/>
    <w:pPr>
      <w:framePr w:y="15310"/>
      <w:spacing w:line="0" w:lineRule="atLeast"/>
    </w:pPr>
    <w:rPr>
      <w:rFonts w:ascii="黑体" w:eastAsia="黑体"/>
      <w:b w:val="0"/>
    </w:rPr>
  </w:style>
  <w:style w:type="paragraph" w:customStyle="1" w:styleId="109">
    <w:name w:val="前言、引言标题"/>
    <w:next w:val="22"/>
    <w:uiPriority w:val="0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110">
    <w:name w:val="三级无"/>
    <w:basedOn w:val="48"/>
    <w:uiPriority w:val="0"/>
    <w:pPr>
      <w:spacing w:beforeLines="0" w:afterLines="0"/>
    </w:pPr>
    <w:rPr>
      <w:rFonts w:ascii="宋体" w:eastAsia="宋体"/>
    </w:rPr>
  </w:style>
  <w:style w:type="paragraph" w:customStyle="1" w:styleId="111">
    <w:name w:val="实施日期"/>
    <w:basedOn w:val="72"/>
    <w:uiPriority w:val="0"/>
    <w:pPr>
      <w:framePr w:vAnchor="page" w:hAnchor="text"/>
      <w:jc w:val="right"/>
    </w:pPr>
  </w:style>
  <w:style w:type="paragraph" w:customStyle="1" w:styleId="112">
    <w:name w:val="示例后文字"/>
    <w:basedOn w:val="22"/>
    <w:next w:val="22"/>
    <w:qFormat/>
    <w:uiPriority w:val="0"/>
    <w:pPr>
      <w:ind w:firstLine="360"/>
    </w:pPr>
    <w:rPr>
      <w:sz w:val="18"/>
    </w:rPr>
  </w:style>
  <w:style w:type="paragraph" w:customStyle="1" w:styleId="113">
    <w:name w:val="首示例"/>
    <w:next w:val="22"/>
    <w:link w:val="114"/>
    <w:qFormat/>
    <w:uiPriority w:val="0"/>
    <w:pPr>
      <w:numPr>
        <w:ilvl w:val="0"/>
        <w:numId w:val="14"/>
      </w:numPr>
      <w:tabs>
        <w:tab w:val="left" w:pos="360"/>
      </w:tabs>
      <w:ind w:firstLine="0"/>
    </w:pPr>
    <w:rPr>
      <w:rFonts w:ascii="宋体" w:hAnsi="宋体" w:eastAsia="宋体" w:cs="Times New Roman"/>
      <w:kern w:val="2"/>
      <w:sz w:val="18"/>
      <w:szCs w:val="18"/>
      <w:lang w:val="en-US" w:eastAsia="zh-CN" w:bidi="ar-SA"/>
    </w:rPr>
  </w:style>
  <w:style w:type="character" w:customStyle="1" w:styleId="114">
    <w:name w:val="首示例 Char"/>
    <w:basedOn w:val="30"/>
    <w:link w:val="113"/>
    <w:uiPriority w:val="0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115">
    <w:name w:val="四级无"/>
    <w:basedOn w:val="52"/>
    <w:uiPriority w:val="0"/>
    <w:pPr>
      <w:spacing w:beforeLines="0" w:afterLines="0"/>
    </w:pPr>
    <w:rPr>
      <w:rFonts w:ascii="宋体" w:eastAsia="宋体"/>
    </w:rPr>
  </w:style>
  <w:style w:type="paragraph" w:customStyle="1" w:styleId="116">
    <w:name w:val="条文脚注"/>
    <w:basedOn w:val="23"/>
    <w:uiPriority w:val="0"/>
    <w:pPr>
      <w:numPr>
        <w:numId w:val="0"/>
      </w:numPr>
      <w:jc w:val="both"/>
    </w:pPr>
  </w:style>
  <w:style w:type="paragraph" w:customStyle="1" w:styleId="117">
    <w:name w:val="图标脚注说明"/>
    <w:basedOn w:val="22"/>
    <w:uiPriority w:val="0"/>
    <w:pPr>
      <w:ind w:left="840" w:hanging="420" w:firstLineChars="0"/>
    </w:pPr>
    <w:rPr>
      <w:sz w:val="18"/>
      <w:szCs w:val="18"/>
    </w:rPr>
  </w:style>
  <w:style w:type="paragraph" w:customStyle="1" w:styleId="118">
    <w:name w:val="图表脚注说明"/>
    <w:basedOn w:val="1"/>
    <w:uiPriority w:val="0"/>
    <w:pPr>
      <w:numPr>
        <w:ilvl w:val="0"/>
        <w:numId w:val="15"/>
      </w:numPr>
    </w:pPr>
    <w:rPr>
      <w:rFonts w:ascii="宋体"/>
      <w:sz w:val="18"/>
      <w:szCs w:val="18"/>
    </w:rPr>
  </w:style>
  <w:style w:type="paragraph" w:customStyle="1" w:styleId="119">
    <w:name w:val="图的脚注"/>
    <w:next w:val="22"/>
    <w:qFormat/>
    <w:uiPriority w:val="0"/>
    <w:pPr>
      <w:widowControl w:val="0"/>
      <w:ind w:left="840" w:leftChars="200" w:hanging="420" w:hangingChars="200"/>
      <w:jc w:val="both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120">
    <w:name w:val="文献分类号"/>
    <w:uiPriority w:val="0"/>
    <w:pPr>
      <w:framePr w:hSpace="180" w:vSpace="180" w:wrap="around" w:vAnchor="margin" w:hAnchor="margin" w:y="1" w:anchorLock="1"/>
      <w:widowControl w:val="0"/>
      <w:textAlignment w:val="center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121">
    <w:name w:val="五级无"/>
    <w:basedOn w:val="53"/>
    <w:uiPriority w:val="0"/>
    <w:pPr>
      <w:spacing w:beforeLines="0" w:afterLines="0"/>
    </w:pPr>
    <w:rPr>
      <w:rFonts w:ascii="宋体" w:eastAsia="宋体"/>
    </w:rPr>
  </w:style>
  <w:style w:type="paragraph" w:customStyle="1" w:styleId="122">
    <w:name w:val="一级无"/>
    <w:basedOn w:val="39"/>
    <w:qFormat/>
    <w:uiPriority w:val="0"/>
    <w:pPr>
      <w:spacing w:beforeLines="0" w:afterLines="0"/>
    </w:pPr>
    <w:rPr>
      <w:rFonts w:ascii="宋体" w:eastAsia="宋体"/>
    </w:rPr>
  </w:style>
  <w:style w:type="paragraph" w:customStyle="1" w:styleId="123">
    <w:name w:val="正文表标题"/>
    <w:next w:val="22"/>
    <w:uiPriority w:val="0"/>
    <w:pPr>
      <w:numPr>
        <w:ilvl w:val="0"/>
        <w:numId w:val="16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24">
    <w:name w:val="正文公式编号制表符"/>
    <w:basedOn w:val="22"/>
    <w:next w:val="22"/>
    <w:qFormat/>
    <w:uiPriority w:val="0"/>
    <w:pPr>
      <w:ind w:firstLine="0" w:firstLineChars="0"/>
    </w:pPr>
  </w:style>
  <w:style w:type="paragraph" w:customStyle="1" w:styleId="125">
    <w:name w:val="正文图标题"/>
    <w:next w:val="22"/>
    <w:qFormat/>
    <w:uiPriority w:val="0"/>
    <w:pPr>
      <w:numPr>
        <w:ilvl w:val="0"/>
        <w:numId w:val="17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26">
    <w:name w:val="终结线"/>
    <w:basedOn w:val="1"/>
    <w:uiPriority w:val="0"/>
    <w:pPr>
      <w:framePr w:hSpace="181" w:vSpace="181" w:wrap="around" w:vAnchor="text" w:hAnchor="margin" w:xAlign="center" w:y="285"/>
    </w:pPr>
  </w:style>
  <w:style w:type="paragraph" w:customStyle="1" w:styleId="127">
    <w:name w:val="其他发布日期"/>
    <w:basedOn w:val="72"/>
    <w:uiPriority w:val="0"/>
    <w:pPr>
      <w:framePr w:vAnchor="page" w:hAnchor="text" w:x="1419"/>
    </w:pPr>
  </w:style>
  <w:style w:type="paragraph" w:customStyle="1" w:styleId="128">
    <w:name w:val="其他实施日期"/>
    <w:basedOn w:val="111"/>
    <w:uiPriority w:val="0"/>
  </w:style>
  <w:style w:type="paragraph" w:customStyle="1" w:styleId="129">
    <w:name w:val="封面标准名称2"/>
    <w:basedOn w:val="75"/>
    <w:uiPriority w:val="0"/>
    <w:pPr>
      <w:framePr w:y="4469"/>
      <w:spacing w:beforeLines="630"/>
    </w:pPr>
  </w:style>
  <w:style w:type="paragraph" w:customStyle="1" w:styleId="130">
    <w:name w:val="封面标准英文名称2"/>
    <w:basedOn w:val="76"/>
    <w:uiPriority w:val="0"/>
    <w:pPr>
      <w:framePr w:y="4469"/>
    </w:pPr>
  </w:style>
  <w:style w:type="paragraph" w:customStyle="1" w:styleId="131">
    <w:name w:val="封面一致性程度标识2"/>
    <w:basedOn w:val="77"/>
    <w:uiPriority w:val="0"/>
    <w:pPr>
      <w:framePr w:y="4469"/>
    </w:pPr>
  </w:style>
  <w:style w:type="paragraph" w:customStyle="1" w:styleId="132">
    <w:name w:val="封面标准文稿类别2"/>
    <w:basedOn w:val="78"/>
    <w:uiPriority w:val="0"/>
    <w:pPr>
      <w:framePr w:y="4469"/>
    </w:pPr>
  </w:style>
  <w:style w:type="paragraph" w:customStyle="1" w:styleId="133">
    <w:name w:val="封面标准文稿编辑信息2"/>
    <w:basedOn w:val="79"/>
    <w:uiPriority w:val="0"/>
    <w:pPr>
      <w:framePr w:y="4469"/>
    </w:pPr>
  </w:style>
  <w:style w:type="character" w:customStyle="1" w:styleId="134">
    <w:name w:val="批注框文本 Char"/>
    <w:basedOn w:val="30"/>
    <w:link w:val="15"/>
    <w:uiPriority w:val="0"/>
    <w:rPr>
      <w:kern w:val="2"/>
      <w:sz w:val="18"/>
      <w:szCs w:val="18"/>
    </w:rPr>
  </w:style>
  <w:style w:type="character" w:customStyle="1" w:styleId="135">
    <w:name w:val="标题 1 Char"/>
    <w:basedOn w:val="30"/>
    <w:link w:val="2"/>
    <w:uiPriority w:val="9"/>
    <w:rPr>
      <w:rFonts w:ascii="宋体" w:hAnsi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12.21&#20065;&#38215;&#65288;&#34903;&#36947;&#65289;&#20844;&#20849;&#27861;&#24459;&#26381;&#21153;&#20013;&#24515;&#24037;&#20316;&#25351;&#21335;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40"/>
    <customShpInfo spid="_x0000_s1037"/>
    <customShpInfo spid="_x0000_s1039"/>
    <customShpInfo spid="_x0000_s1038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12.21乡镇（街道）公共法律服务中心工作指南.dot</Template>
  <Pages>9</Pages>
  <Words>633</Words>
  <Characters>3610</Characters>
  <Lines>30</Lines>
  <Paragraphs>8</Paragraphs>
  <TotalTime>2</TotalTime>
  <ScaleCrop>false</ScaleCrop>
  <LinksUpToDate>false</LinksUpToDate>
  <CharactersWithSpaces>4235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2018-12-21T05:34:00Z</dcterms:created>
  <dcterms:modified xsi:type="dcterms:W3CDTF">2019-05-10T02:58:02Z</dcterms:modified>
  <dc:title>标准名称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