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381E1C">
      <w:pPr>
        <w:snapToGrid w:val="0"/>
        <w:spacing w:line="590" w:lineRule="exact"/>
        <w:jc w:val="center"/>
        <w:rPr>
          <w:rFonts w:ascii="方正小标宋_GBK" w:eastAsia="方正小标宋_GBK" w:hAnsiTheme="majorEastAsia" w:cs="Arial"/>
          <w:color w:val="000000" w:themeColor="text1"/>
          <w:sz w:val="44"/>
          <w:szCs w:val="44"/>
        </w:rPr>
      </w:pPr>
      <w:r w:rsidRPr="00CD166C">
        <w:rPr>
          <w:rFonts w:ascii="方正小标宋_GBK" w:eastAsia="方正小标宋_GBK" w:hAnsiTheme="majorEastAsia" w:cs="Arial" w:hint="eastAsia"/>
          <w:color w:val="000000" w:themeColor="text1"/>
          <w:sz w:val="44"/>
          <w:szCs w:val="44"/>
        </w:rPr>
        <w:t>江苏省预付卡管理办法（草案）</w:t>
      </w:r>
    </w:p>
    <w:p w:rsidR="00000000" w:rsidRDefault="009F690E">
      <w:pPr>
        <w:snapToGrid w:val="0"/>
        <w:spacing w:line="590" w:lineRule="exact"/>
        <w:jc w:val="center"/>
        <w:rPr>
          <w:rFonts w:ascii="方正楷体_GBK" w:eastAsia="方正楷体_GBK" w:hAnsi="华文仿宋" w:cs="Arial"/>
          <w:color w:val="000000" w:themeColor="text1"/>
          <w:sz w:val="32"/>
          <w:szCs w:val="32"/>
        </w:rPr>
      </w:pPr>
      <w:r>
        <w:rPr>
          <w:rFonts w:ascii="方正楷体_GBK" w:eastAsia="方正楷体_GBK" w:hAnsiTheme="majorEastAsia" w:cs="Arial" w:hint="eastAsia"/>
          <w:color w:val="000000" w:themeColor="text1"/>
          <w:sz w:val="32"/>
          <w:szCs w:val="32"/>
        </w:rPr>
        <w:t>（征求意见稿）</w:t>
      </w:r>
    </w:p>
    <w:p w:rsidR="00000000" w:rsidRDefault="003839EF">
      <w:pPr>
        <w:snapToGrid w:val="0"/>
        <w:spacing w:line="590" w:lineRule="exact"/>
        <w:ind w:firstLineChars="200" w:firstLine="640"/>
        <w:jc w:val="both"/>
        <w:rPr>
          <w:rFonts w:ascii="方正仿宋_GBK" w:eastAsia="方正仿宋_GBK" w:hAnsi="华文仿宋" w:cs="Arial"/>
          <w:color w:val="000000" w:themeColor="text1"/>
          <w:sz w:val="32"/>
          <w:szCs w:val="32"/>
        </w:rPr>
      </w:pPr>
    </w:p>
    <w:p w:rsidR="00000000" w:rsidRDefault="00DD6B84">
      <w:pPr>
        <w:snapToGrid w:val="0"/>
        <w:spacing w:line="590" w:lineRule="exact"/>
        <w:jc w:val="center"/>
        <w:rPr>
          <w:rFonts w:ascii="黑体" w:eastAsia="黑体" w:hAnsi="黑体" w:cs="Arial"/>
          <w:color w:val="000000" w:themeColor="text1"/>
          <w:sz w:val="32"/>
          <w:szCs w:val="32"/>
        </w:rPr>
      </w:pPr>
      <w:r w:rsidRPr="00DD6B84">
        <w:rPr>
          <w:rFonts w:ascii="黑体" w:eastAsia="黑体" w:hAnsi="黑体" w:cs="Arial" w:hint="eastAsia"/>
          <w:color w:val="000000" w:themeColor="text1"/>
          <w:sz w:val="32"/>
          <w:szCs w:val="32"/>
        </w:rPr>
        <w:t>第一章　总　则</w:t>
      </w:r>
    </w:p>
    <w:p w:rsidR="00000000" w:rsidRDefault="003839EF">
      <w:pPr>
        <w:snapToGrid w:val="0"/>
        <w:spacing w:line="590" w:lineRule="exact"/>
        <w:ind w:firstLineChars="200" w:firstLine="640"/>
        <w:jc w:val="both"/>
        <w:rPr>
          <w:rFonts w:ascii="方正仿宋_GBK" w:eastAsia="方正仿宋_GBK" w:hAnsi="华文仿宋" w:cs="Arial"/>
          <w:color w:val="000000" w:themeColor="text1"/>
          <w:sz w:val="32"/>
          <w:szCs w:val="32"/>
        </w:rPr>
      </w:pP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第一条</w:t>
      </w:r>
      <w:r>
        <w:rPr>
          <w:rFonts w:ascii="方正仿宋_GBK" w:eastAsia="方正仿宋_GBK" w:hAnsi="华文仿宋" w:cs="Arial" w:hint="eastAsia"/>
          <w:color w:val="000000" w:themeColor="text1"/>
          <w:sz w:val="32"/>
          <w:szCs w:val="32"/>
        </w:rPr>
        <w:t xml:space="preserve">　为了加强预付卡管理，保护消费者合法权益，规范市场秩序，防范和化解社会风险，根据《中华人民共和国消费者权益保</w:t>
      </w:r>
      <w:bookmarkStart w:id="0" w:name="_GoBack"/>
      <w:bookmarkEnd w:id="0"/>
      <w:r>
        <w:rPr>
          <w:rFonts w:ascii="方正仿宋_GBK" w:eastAsia="方正仿宋_GBK" w:hAnsi="华文仿宋" w:cs="Arial" w:hint="eastAsia"/>
          <w:color w:val="000000" w:themeColor="text1"/>
          <w:sz w:val="32"/>
          <w:szCs w:val="32"/>
        </w:rPr>
        <w:t>护法》《江苏省消费者权益保护条例》等法律、法规，结合本省实际，制定本办法。</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第二条</w:t>
      </w:r>
      <w:r>
        <w:rPr>
          <w:rFonts w:ascii="方正仿宋_GBK" w:eastAsia="方正仿宋_GBK" w:hAnsi="华文仿宋" w:cs="Arial" w:hint="eastAsia"/>
          <w:color w:val="000000" w:themeColor="text1"/>
          <w:sz w:val="32"/>
          <w:szCs w:val="32"/>
        </w:rPr>
        <w:t xml:space="preserve">　本省行政区域内经营者以</w:t>
      </w:r>
      <w:r w:rsidR="00975976">
        <w:rPr>
          <w:rFonts w:ascii="方正仿宋_GBK" w:eastAsia="方正仿宋_GBK" w:hAnsi="华文仿宋" w:cs="Arial" w:hint="eastAsia"/>
          <w:color w:val="000000" w:themeColor="text1"/>
          <w:sz w:val="32"/>
          <w:szCs w:val="32"/>
        </w:rPr>
        <w:t>发行</w:t>
      </w:r>
      <w:r>
        <w:rPr>
          <w:rFonts w:ascii="方正仿宋_GBK" w:eastAsia="方正仿宋_GBK" w:hAnsi="华文仿宋" w:cs="Arial" w:hint="eastAsia"/>
          <w:color w:val="000000" w:themeColor="text1"/>
          <w:sz w:val="32"/>
          <w:szCs w:val="32"/>
        </w:rPr>
        <w:t>单用途预付卡的预收款方式提供商品或者服务的活动及其监督管理，适用本办法。国家对单用途预付卡另有规定的，从其规定。</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前款所称单用途预付卡（以下称预付卡），是指经营者发行的，仅限于消费者在经营者及其所属集团、同一品牌特许经营体系内兑付商品或者服务的预付凭证，包括以磁条卡、芯片卡、纸券等为载体的实体卡和以密码、串码、图形、生物特征信息及其他约定信息等为载体的虚拟卡，但是一次性兑付特定商品或者服务的除外。</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第三条</w:t>
      </w:r>
      <w:r>
        <w:rPr>
          <w:rFonts w:ascii="方正仿宋_GBK" w:eastAsia="方正仿宋_GBK" w:hAnsi="华文仿宋" w:cs="Arial" w:hint="eastAsia"/>
          <w:color w:val="000000" w:themeColor="text1"/>
          <w:sz w:val="32"/>
          <w:szCs w:val="32"/>
        </w:rPr>
        <w:t xml:space="preserve">　预付卡管理坚持规范发展、风险防范、协同监管、社会共治原则。</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第四条</w:t>
      </w:r>
      <w:r>
        <w:rPr>
          <w:rFonts w:ascii="方正仿宋_GBK" w:eastAsia="方正仿宋_GBK" w:hAnsi="华文仿宋" w:cs="Arial" w:hint="eastAsia"/>
          <w:color w:val="000000" w:themeColor="text1"/>
          <w:sz w:val="32"/>
          <w:szCs w:val="32"/>
        </w:rPr>
        <w:t xml:space="preserve">　县级以上地方人民政府领导本行政区域内预付卡管理工作，</w:t>
      </w:r>
      <w:r>
        <w:rPr>
          <w:rFonts w:ascii="方正仿宋_GBK" w:eastAsia="方正仿宋_GBK" w:hAnsi="华文仿宋" w:hint="eastAsia"/>
          <w:color w:val="000000" w:themeColor="text1"/>
          <w:sz w:val="32"/>
          <w:szCs w:val="32"/>
        </w:rPr>
        <w:t>将预付卡管理工作经费纳入本级财政预算，</w:t>
      </w:r>
      <w:r>
        <w:rPr>
          <w:rFonts w:ascii="方正仿宋_GBK" w:eastAsia="方正仿宋_GBK" w:hAnsi="华文仿宋" w:cs="Arial" w:hint="eastAsia"/>
          <w:color w:val="000000" w:themeColor="text1"/>
          <w:sz w:val="32"/>
          <w:szCs w:val="32"/>
        </w:rPr>
        <w:t>建立预付</w:t>
      </w:r>
      <w:r>
        <w:rPr>
          <w:rFonts w:ascii="方正仿宋_GBK" w:eastAsia="方正仿宋_GBK" w:hAnsi="华文仿宋" w:cs="Arial" w:hint="eastAsia"/>
          <w:color w:val="000000" w:themeColor="text1"/>
          <w:sz w:val="32"/>
          <w:szCs w:val="32"/>
        </w:rPr>
        <w:lastRenderedPageBreak/>
        <w:t>卡管理联席会议制度，明确相关部门职责分工，落实管理责任，协调处理预付卡管理重大问题。</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乡镇人民政府（街道办事处）协助有关部门做好预付卡管理</w:t>
      </w:r>
      <w:r w:rsidR="00834F87">
        <w:rPr>
          <w:rFonts w:ascii="方正仿宋_GBK" w:eastAsia="方正仿宋_GBK" w:hAnsi="华文仿宋" w:cs="Arial" w:hint="eastAsia"/>
          <w:color w:val="000000" w:themeColor="text1"/>
          <w:sz w:val="32"/>
          <w:szCs w:val="32"/>
        </w:rPr>
        <w:t>工作</w:t>
      </w:r>
      <w:r w:rsidR="0062788D">
        <w:rPr>
          <w:rFonts w:ascii="方正仿宋_GBK" w:eastAsia="方正仿宋_GBK" w:hAnsi="华文仿宋" w:cs="Arial" w:hint="eastAsia"/>
          <w:color w:val="000000" w:themeColor="text1"/>
          <w:sz w:val="32"/>
          <w:szCs w:val="32"/>
        </w:rPr>
        <w:t>。</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第五条</w:t>
      </w:r>
      <w:r>
        <w:rPr>
          <w:rFonts w:ascii="方正仿宋_GBK" w:eastAsia="方正仿宋_GBK" w:hAnsi="华文仿宋" w:cs="Arial" w:hint="eastAsia"/>
          <w:color w:val="000000" w:themeColor="text1"/>
          <w:sz w:val="32"/>
          <w:szCs w:val="32"/>
        </w:rPr>
        <w:t xml:space="preserve">　商务部门负责组织实施本行政区域内预付卡管理工作。</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市场监管部门按照职责负责涉及预付卡的市场主体违法行为查处和投诉、举报处理等工作。</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地方金融监管部门负责</w:t>
      </w:r>
      <w:r w:rsidR="00DD6B84" w:rsidRPr="00DD6B84">
        <w:rPr>
          <w:rFonts w:ascii="方正仿宋_GBK" w:eastAsia="方正仿宋_GBK" w:hAnsi="华文仿宋" w:cs="Arial" w:hint="eastAsia"/>
          <w:color w:val="000000" w:themeColor="text1"/>
          <w:sz w:val="32"/>
          <w:szCs w:val="32"/>
        </w:rPr>
        <w:t>协调指导金融</w:t>
      </w:r>
      <w:r>
        <w:rPr>
          <w:rFonts w:ascii="方正仿宋_GBK" w:eastAsia="方正仿宋_GBK" w:hAnsi="华文仿宋" w:cs="Arial" w:hint="eastAsia"/>
          <w:color w:val="000000" w:themeColor="text1"/>
          <w:sz w:val="32"/>
          <w:szCs w:val="32"/>
        </w:rPr>
        <w:t>组织</w:t>
      </w:r>
      <w:r w:rsidR="00DD6B84" w:rsidRPr="00DD6B84">
        <w:rPr>
          <w:rFonts w:ascii="方正仿宋_GBK" w:eastAsia="方正仿宋_GBK" w:hAnsi="华文仿宋" w:cs="Arial" w:hint="eastAsia"/>
          <w:color w:val="000000" w:themeColor="text1"/>
          <w:sz w:val="32"/>
          <w:szCs w:val="32"/>
        </w:rPr>
        <w:t>加强</w:t>
      </w:r>
      <w:r>
        <w:rPr>
          <w:rFonts w:ascii="方正仿宋_GBK" w:eastAsia="方正仿宋_GBK" w:hAnsi="华文仿宋" w:cs="Arial" w:hint="eastAsia"/>
          <w:color w:val="000000" w:themeColor="text1"/>
          <w:sz w:val="32"/>
          <w:szCs w:val="32"/>
        </w:rPr>
        <w:t>预付卡资金管理，统筹协调预付卡经营活动中涉及非法集资的处置工作。</w:t>
      </w:r>
    </w:p>
    <w:p w:rsidR="00000000" w:rsidRDefault="009F690E">
      <w:pPr>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商务、教育、民政、人力资源社会保障、交通运输、文化和旅游、卫生健康、体育等行业主管部门负责本行业、本领域预付卡管理工作。</w:t>
      </w:r>
    </w:p>
    <w:p w:rsidR="00000000" w:rsidRDefault="009F690E">
      <w:pPr>
        <w:adjustRightInd w:val="0"/>
        <w:snapToGrid w:val="0"/>
        <w:spacing w:line="590" w:lineRule="exact"/>
        <w:ind w:firstLineChars="200" w:firstLine="640"/>
        <w:jc w:val="both"/>
        <w:rPr>
          <w:rFonts w:ascii="方正仿宋_GBK" w:eastAsia="方正仿宋_GBK" w:hAnsi="华文仿宋"/>
          <w:color w:val="000000" w:themeColor="text1"/>
          <w:sz w:val="32"/>
          <w:szCs w:val="32"/>
        </w:rPr>
      </w:pPr>
      <w:r>
        <w:rPr>
          <w:rFonts w:ascii="方正仿宋_GBK" w:eastAsia="方正仿宋_GBK" w:hAnsi="华文仿宋" w:cs="Arial" w:hint="eastAsia"/>
          <w:color w:val="000000" w:themeColor="text1"/>
          <w:sz w:val="32"/>
          <w:szCs w:val="32"/>
        </w:rPr>
        <w:t>公安、税务等其他有关部门按照各自职责，做好预付卡管理相关工作。</w:t>
      </w:r>
    </w:p>
    <w:p w:rsidR="009C7D0F" w:rsidRDefault="00DD6B84" w:rsidP="009C7D0F">
      <w:pPr>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r w:rsidRPr="00DD6B84">
        <w:rPr>
          <w:rFonts w:ascii="方正黑体_GBK" w:eastAsia="方正黑体_GBK" w:hAnsi="华文仿宋" w:cs="Arial" w:hint="eastAsia"/>
          <w:color w:val="000000" w:themeColor="text1"/>
          <w:sz w:val="32"/>
          <w:szCs w:val="32"/>
        </w:rPr>
        <w:t>第</w:t>
      </w:r>
      <w:r w:rsidR="00B00E8D">
        <w:rPr>
          <w:rFonts w:ascii="方正黑体_GBK" w:eastAsia="方正黑体_GBK" w:hAnsi="华文仿宋" w:cs="Arial" w:hint="eastAsia"/>
          <w:color w:val="000000" w:themeColor="text1"/>
          <w:sz w:val="32"/>
          <w:szCs w:val="32"/>
        </w:rPr>
        <w:t>六</w:t>
      </w:r>
      <w:r w:rsidRPr="00DD6B84">
        <w:rPr>
          <w:rFonts w:ascii="方正黑体_GBK" w:eastAsia="方正黑体_GBK" w:hAnsi="华文仿宋" w:cs="Arial" w:hint="eastAsia"/>
          <w:color w:val="000000" w:themeColor="text1"/>
          <w:sz w:val="32"/>
          <w:szCs w:val="32"/>
        </w:rPr>
        <w:t>条</w:t>
      </w:r>
      <w:r w:rsidRPr="00DD6B84">
        <w:rPr>
          <w:rFonts w:ascii="方正仿宋_GBK" w:eastAsia="方正仿宋_GBK" w:hAnsi="华文仿宋" w:cs="Arial" w:hint="eastAsia"/>
          <w:color w:val="000000" w:themeColor="text1"/>
          <w:sz w:val="32"/>
          <w:szCs w:val="32"/>
        </w:rPr>
        <w:t xml:space="preserve">　</w:t>
      </w:r>
      <w:r w:rsidR="009F690E">
        <w:rPr>
          <w:rFonts w:ascii="方正仿宋_GBK" w:eastAsia="方正仿宋_GBK" w:hAnsi="华文仿宋" w:cs="Arial" w:hint="eastAsia"/>
          <w:color w:val="000000" w:themeColor="text1"/>
          <w:sz w:val="32"/>
          <w:szCs w:val="32"/>
        </w:rPr>
        <w:t>行业主管部门应当加强预付卡规范经营教育，向社会公众宣传消费注意事项，提示预付卡兑付风险。</w:t>
      </w:r>
    </w:p>
    <w:p w:rsidR="00834F87" w:rsidRPr="00CD166C" w:rsidRDefault="00834F87" w:rsidP="00834F87">
      <w:pPr>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r w:rsidRPr="00834F87">
        <w:rPr>
          <w:rFonts w:ascii="方正仿宋_GBK" w:eastAsia="方正仿宋_GBK" w:hAnsi="华文仿宋" w:cs="Arial" w:hint="eastAsia"/>
          <w:color w:val="000000" w:themeColor="text1"/>
          <w:sz w:val="32"/>
          <w:szCs w:val="32"/>
        </w:rPr>
        <w:t>预付卡行业组织应当加强行业自律，对经营者开展规范经营教育，配合行业主管部门做好预付卡管理相关工作。</w:t>
      </w:r>
    </w:p>
    <w:p w:rsidR="006A1476" w:rsidRPr="00CD166C" w:rsidRDefault="00DD6B84">
      <w:pPr>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r w:rsidRPr="00DD6B84">
        <w:rPr>
          <w:rFonts w:ascii="黑体" w:eastAsia="黑体" w:hAnsi="黑体" w:cs="Arial" w:hint="eastAsia"/>
          <w:color w:val="000000" w:themeColor="text1"/>
          <w:sz w:val="32"/>
          <w:szCs w:val="32"/>
        </w:rPr>
        <w:t>第</w:t>
      </w:r>
      <w:r w:rsidR="00B00E8D">
        <w:rPr>
          <w:rFonts w:ascii="黑体" w:eastAsia="黑体" w:hAnsi="黑体" w:cs="Arial" w:hint="eastAsia"/>
          <w:color w:val="000000" w:themeColor="text1"/>
          <w:sz w:val="32"/>
          <w:szCs w:val="32"/>
        </w:rPr>
        <w:t>七</w:t>
      </w:r>
      <w:r w:rsidRPr="00DD6B84">
        <w:rPr>
          <w:rFonts w:ascii="黑体" w:eastAsia="黑体" w:hAnsi="黑体" w:cs="Arial" w:hint="eastAsia"/>
          <w:color w:val="000000" w:themeColor="text1"/>
          <w:sz w:val="32"/>
          <w:szCs w:val="32"/>
        </w:rPr>
        <w:t>条</w:t>
      </w:r>
      <w:r w:rsidR="009F690E">
        <w:rPr>
          <w:rFonts w:ascii="方正仿宋_GBK" w:eastAsia="方正仿宋_GBK" w:hAnsi="华文仿宋" w:cs="Arial" w:hint="eastAsia"/>
          <w:color w:val="000000" w:themeColor="text1"/>
          <w:sz w:val="32"/>
          <w:szCs w:val="32"/>
        </w:rPr>
        <w:t xml:space="preserve">　经营者在预付卡经营活动中应当遵守法律、法规，其合法权益受法律保护。</w:t>
      </w:r>
    </w:p>
    <w:p w:rsidR="00B9437D" w:rsidRPr="00CD166C" w:rsidRDefault="009F690E">
      <w:pPr>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lastRenderedPageBreak/>
        <w:t>经营者在发行和兑付预付卡时，应当恪守社会公德、诚信经营，保障消费者合法权益，不得设定不公平、不合理的交易条件，不得强制交易，不得无偿占用预付卡余额。</w:t>
      </w:r>
    </w:p>
    <w:p w:rsidR="00437C8F" w:rsidRDefault="009F690E">
      <w:pPr>
        <w:adjustRightInd w:val="0"/>
        <w:snapToGrid w:val="0"/>
        <w:spacing w:line="590" w:lineRule="exact"/>
        <w:ind w:firstLineChars="200" w:firstLine="640"/>
        <w:jc w:val="both"/>
        <w:rPr>
          <w:ins w:id="1" w:author="NTKO" w:date="2020-10-26T20:20:00Z"/>
          <w:rFonts w:ascii="方正仿宋_GBK" w:eastAsia="方正仿宋_GBK" w:hAnsi="华文仿宋" w:cs="Arial" w:hint="eastAsia"/>
          <w:color w:val="000000" w:themeColor="text1"/>
          <w:sz w:val="32"/>
          <w:szCs w:val="32"/>
        </w:rPr>
      </w:pPr>
      <w:r>
        <w:rPr>
          <w:rFonts w:ascii="方正仿宋_GBK" w:eastAsia="方正仿宋_GBK" w:hAnsi="华文仿宋" w:cs="Arial" w:hint="eastAsia"/>
          <w:color w:val="000000" w:themeColor="text1"/>
          <w:sz w:val="32"/>
          <w:szCs w:val="32"/>
        </w:rPr>
        <w:t>经营者应当真实、全面地向消费者提供预付卡购买、使用等信息，不得作虚假或者引人误解的宣传。经营者对消费者就预付卡提出的询问，应当作出及时、真实、明确的答复。</w:t>
      </w:r>
    </w:p>
    <w:p w:rsidR="006A1476" w:rsidRPr="00CD166C" w:rsidRDefault="00DD6B84">
      <w:pPr>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r w:rsidRPr="00DD6B84">
        <w:rPr>
          <w:rFonts w:ascii="黑体" w:eastAsia="黑体" w:hAnsi="黑体" w:cs="Arial" w:hint="eastAsia"/>
          <w:color w:val="000000" w:themeColor="text1"/>
          <w:sz w:val="32"/>
          <w:szCs w:val="32"/>
        </w:rPr>
        <w:t>第</w:t>
      </w:r>
      <w:r w:rsidR="00B00E8D">
        <w:rPr>
          <w:rFonts w:ascii="黑体" w:eastAsia="黑体" w:hAnsi="黑体" w:cs="Arial" w:hint="eastAsia"/>
          <w:color w:val="000000" w:themeColor="text1"/>
          <w:sz w:val="32"/>
          <w:szCs w:val="32"/>
        </w:rPr>
        <w:t>八</w:t>
      </w:r>
      <w:r w:rsidRPr="00DD6B84">
        <w:rPr>
          <w:rFonts w:ascii="黑体" w:eastAsia="黑体" w:hAnsi="黑体" w:cs="Arial" w:hint="eastAsia"/>
          <w:color w:val="000000" w:themeColor="text1"/>
          <w:sz w:val="32"/>
          <w:szCs w:val="32"/>
        </w:rPr>
        <w:t>条</w:t>
      </w:r>
      <w:r w:rsidR="009F690E">
        <w:rPr>
          <w:rFonts w:ascii="黑体" w:eastAsia="黑体" w:hAnsi="黑体" w:cs="Arial" w:hint="eastAsia"/>
          <w:color w:val="000000" w:themeColor="text1"/>
          <w:sz w:val="32"/>
          <w:szCs w:val="32"/>
        </w:rPr>
        <w:t xml:space="preserve">　</w:t>
      </w:r>
      <w:r w:rsidR="009F690E">
        <w:rPr>
          <w:rFonts w:ascii="方正仿宋_GBK" w:eastAsia="方正仿宋_GBK" w:hAnsi="华文仿宋" w:cs="Arial" w:hint="eastAsia"/>
          <w:color w:val="000000" w:themeColor="text1"/>
          <w:sz w:val="32"/>
          <w:szCs w:val="32"/>
        </w:rPr>
        <w:t>消费者购买预付卡时，有权询问和了解该预付卡的真实情况，有权要求经营者依照法律规定和合同约定提供商品或者服务。</w:t>
      </w:r>
    </w:p>
    <w:p w:rsidR="002E7BC3" w:rsidRDefault="009F690E">
      <w:pPr>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消费者在购买预付卡时，应当关注经营者的信用状况，理性消费，并注意防范风险，提高自我保护意识，维护自身合法权益。</w:t>
      </w:r>
    </w:p>
    <w:p w:rsidR="002E7BC3" w:rsidRDefault="002E7BC3">
      <w:pPr>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p>
    <w:p w:rsidR="002E7BC3" w:rsidRPr="002E7BC3" w:rsidRDefault="002E7BC3" w:rsidP="002E7BC3">
      <w:pPr>
        <w:snapToGrid w:val="0"/>
        <w:spacing w:line="590" w:lineRule="exact"/>
        <w:jc w:val="center"/>
        <w:rPr>
          <w:rFonts w:ascii="黑体" w:eastAsia="黑体" w:hAnsi="黑体" w:cs="Arial"/>
          <w:color w:val="000000" w:themeColor="text1"/>
          <w:sz w:val="32"/>
          <w:szCs w:val="32"/>
        </w:rPr>
      </w:pPr>
      <w:r w:rsidRPr="002E7BC3">
        <w:rPr>
          <w:rFonts w:ascii="黑体" w:eastAsia="黑体" w:hAnsi="黑体" w:cs="Arial" w:hint="eastAsia"/>
          <w:color w:val="000000" w:themeColor="text1"/>
          <w:sz w:val="32"/>
          <w:szCs w:val="32"/>
        </w:rPr>
        <w:t>第</w:t>
      </w:r>
      <w:r>
        <w:rPr>
          <w:rFonts w:ascii="黑体" w:eastAsia="黑体" w:hAnsi="黑体" w:cs="Arial" w:hint="eastAsia"/>
          <w:color w:val="000000" w:themeColor="text1"/>
          <w:sz w:val="32"/>
          <w:szCs w:val="32"/>
        </w:rPr>
        <w:t>二</w:t>
      </w:r>
      <w:r w:rsidRPr="002E7BC3">
        <w:rPr>
          <w:rFonts w:ascii="黑体" w:eastAsia="黑体" w:hAnsi="黑体" w:cs="Arial" w:hint="eastAsia"/>
          <w:color w:val="000000" w:themeColor="text1"/>
          <w:sz w:val="32"/>
          <w:szCs w:val="32"/>
        </w:rPr>
        <w:t xml:space="preserve">章　</w:t>
      </w:r>
      <w:r>
        <w:rPr>
          <w:rFonts w:ascii="黑体" w:eastAsia="黑体" w:hAnsi="黑体" w:cs="Arial" w:hint="eastAsia"/>
          <w:color w:val="000000" w:themeColor="text1"/>
          <w:sz w:val="32"/>
          <w:szCs w:val="32"/>
        </w:rPr>
        <w:t>平台建设和服务</w:t>
      </w:r>
    </w:p>
    <w:p w:rsidR="006A1476" w:rsidRPr="00CD166C" w:rsidRDefault="006A1476">
      <w:pPr>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w:t>
      </w:r>
      <w:r w:rsidR="00B00E8D">
        <w:rPr>
          <w:rFonts w:ascii="黑体" w:eastAsia="黑体" w:hAnsi="黑体" w:cs="Arial" w:hint="eastAsia"/>
          <w:color w:val="000000" w:themeColor="text1"/>
          <w:sz w:val="32"/>
          <w:szCs w:val="32"/>
        </w:rPr>
        <w:t>九</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本省建设统一的预付卡管理服务平台（以下称管理服务平台），依法为经营者和消费者提供预付卡信息归集、公示、查询和风险警示服务。</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管理服务平台应当与一体化在线政务服务平台、公共信用信息系统等平台对接。</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第十</w:t>
      </w:r>
      <w:r w:rsidR="00FC39ED">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商务部门应当指导、支持预付卡行业组织或者具备相应能力的经营者建立预付卡公共基础业务处理系统，供经营者自主选择、免费使用，并加强监督管理。</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lastRenderedPageBreak/>
        <w:t>经营者可以建立与预付卡经营活动相适应的自有预付卡业务处理系统或者使用预付卡公共基础业务处理系统。</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业务处理系统应当具备预付卡发行管理、预收资金结算、交易记录保存、消费者</w:t>
      </w:r>
      <w:r w:rsidR="00DD6B84" w:rsidRPr="00DD6B84">
        <w:rPr>
          <w:rFonts w:ascii="方正仿宋_GBK" w:eastAsia="方正仿宋_GBK" w:hAnsi="华文仿宋" w:cs="Arial" w:hint="eastAsia"/>
          <w:color w:val="000000" w:themeColor="text1"/>
          <w:sz w:val="32"/>
          <w:szCs w:val="32"/>
        </w:rPr>
        <w:t>查询</w:t>
      </w:r>
      <w:r>
        <w:rPr>
          <w:rFonts w:ascii="方正仿宋_GBK" w:eastAsia="方正仿宋_GBK" w:hAnsi="华文仿宋" w:cs="Arial" w:hint="eastAsia"/>
          <w:color w:val="000000" w:themeColor="text1"/>
          <w:sz w:val="32"/>
          <w:szCs w:val="32"/>
        </w:rPr>
        <w:t>信息、与管理服务平台对接等功能。</w:t>
      </w:r>
    </w:p>
    <w:p w:rsidR="00507DE4" w:rsidRPr="00CD166C" w:rsidRDefault="009F690E" w:rsidP="00507DE4">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第十</w:t>
      </w:r>
      <w:r w:rsidR="00B00E8D">
        <w:rPr>
          <w:rFonts w:ascii="黑体" w:eastAsia="黑体" w:hAnsi="黑体" w:cs="Arial" w:hint="eastAsia"/>
          <w:color w:val="000000" w:themeColor="text1"/>
          <w:sz w:val="32"/>
          <w:szCs w:val="32"/>
        </w:rPr>
        <w:t>一</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经营者向业务处理系统上传预付卡信息应当及时、准确、完整。预付卡信息包括预付卡发行数量、预收资金以及预收资金余额等。</w:t>
      </w:r>
    </w:p>
    <w:p w:rsidR="00B211DA" w:rsidRPr="00CD166C" w:rsidRDefault="009F690E" w:rsidP="00B211DA">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第十</w:t>
      </w:r>
      <w:r w:rsidR="00B00E8D">
        <w:rPr>
          <w:rFonts w:ascii="黑体" w:eastAsia="黑体" w:hAnsi="黑体" w:cs="Arial" w:hint="eastAsia"/>
          <w:color w:val="000000" w:themeColor="text1"/>
          <w:sz w:val="32"/>
          <w:szCs w:val="32"/>
        </w:rPr>
        <w:t>二</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经营者将业务处理系统与管理服务平台对接后，由管理服务平台提供信息对接标识，供经营者在经营场所显著位置或者网站首页向消费者公示，在预付卡卡面或者凭证上向消费者明示。</w:t>
      </w:r>
    </w:p>
    <w:p w:rsidR="00F21E63" w:rsidRPr="00CD166C" w:rsidRDefault="009F690E" w:rsidP="00507DE4">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第十</w:t>
      </w:r>
      <w:r w:rsidR="00B00E8D">
        <w:rPr>
          <w:rFonts w:ascii="黑体" w:eastAsia="黑体" w:hAnsi="黑体" w:cs="Arial" w:hint="eastAsia"/>
          <w:color w:val="000000" w:themeColor="text1"/>
          <w:sz w:val="32"/>
          <w:szCs w:val="32"/>
        </w:rPr>
        <w:t>三</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经营者对预付卡信息的真实性负责，并采取措施为消费者通过业务处理系统或者管理服务平台查询相关信息提供便利条件。业务处理系统或者管理服务平台可以要求经营者对预付卡信息的真实性作出书面承诺。</w:t>
      </w:r>
    </w:p>
    <w:p w:rsidR="001E4F62" w:rsidRPr="00CD166C"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经营者从事网络经营的，应当遵守网络经营的相关规定，履行《中华人民共和国电子商务法》等法律、法规规定的信息披露、</w:t>
      </w:r>
      <w:r w:rsidR="00DD6B84" w:rsidRPr="00DD6B84">
        <w:rPr>
          <w:rFonts w:ascii="方正仿宋_GBK" w:eastAsia="方正仿宋_GBK" w:hAnsi="华文仿宋" w:cs="Arial" w:hint="eastAsia"/>
          <w:color w:val="000000" w:themeColor="text1"/>
          <w:sz w:val="32"/>
          <w:szCs w:val="32"/>
        </w:rPr>
        <w:t>核验、</w:t>
      </w:r>
      <w:r>
        <w:rPr>
          <w:rFonts w:ascii="方正仿宋_GBK" w:eastAsia="方正仿宋_GBK" w:hAnsi="华文仿宋" w:cs="Arial" w:hint="eastAsia"/>
          <w:color w:val="000000" w:themeColor="text1"/>
          <w:sz w:val="32"/>
          <w:szCs w:val="32"/>
        </w:rPr>
        <w:t>公示等义务。</w:t>
      </w:r>
    </w:p>
    <w:p w:rsidR="008B0E30" w:rsidRPr="00CD166C" w:rsidRDefault="009F690E" w:rsidP="008B0E30">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第十</w:t>
      </w:r>
      <w:r w:rsidR="00B00E8D">
        <w:rPr>
          <w:rFonts w:ascii="黑体" w:eastAsia="黑体" w:hAnsi="黑体" w:cs="Arial" w:hint="eastAsia"/>
          <w:color w:val="000000" w:themeColor="text1"/>
          <w:sz w:val="32"/>
          <w:szCs w:val="32"/>
        </w:rPr>
        <w:t>四</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管理服务平台应当依法公示</w:t>
      </w:r>
      <w:r w:rsidR="00DD6B84" w:rsidRPr="00DD6B84">
        <w:rPr>
          <w:rFonts w:ascii="方正仿宋_GBK" w:eastAsia="方正仿宋_GBK" w:hAnsi="华文仿宋" w:cs="Arial" w:hint="eastAsia"/>
          <w:color w:val="000000" w:themeColor="text1"/>
          <w:sz w:val="32"/>
          <w:szCs w:val="32"/>
        </w:rPr>
        <w:t>预付卡备案</w:t>
      </w:r>
      <w:r>
        <w:rPr>
          <w:rFonts w:ascii="方正仿宋_GBK" w:eastAsia="方正仿宋_GBK" w:hAnsi="华文仿宋" w:cs="Arial" w:hint="eastAsia"/>
          <w:color w:val="000000" w:themeColor="text1"/>
          <w:sz w:val="32"/>
          <w:szCs w:val="32"/>
        </w:rPr>
        <w:t>信息。相关行业、领域的备案信息应当在管理服务平台共享使用。有关部门可以根据本行业、本领域的实际情况，制定具体办法。</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lastRenderedPageBreak/>
        <w:t>第十</w:t>
      </w:r>
      <w:r w:rsidR="00B00E8D">
        <w:rPr>
          <w:rFonts w:ascii="黑体" w:eastAsia="黑体" w:hAnsi="黑体" w:cs="Arial" w:hint="eastAsia"/>
          <w:color w:val="000000" w:themeColor="text1"/>
          <w:sz w:val="32"/>
          <w:szCs w:val="32"/>
        </w:rPr>
        <w:t>五</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管理服务平台应当提供预付卡合同示范文本，供经营者下载使用。示范文本应当包含商品或者服务的数量和质量、价款或者费用、履行期限和方式、经营者与消费者有关</w:t>
      </w:r>
      <w:r w:rsidR="00DD6B84" w:rsidRPr="00DD6B84">
        <w:rPr>
          <w:rFonts w:ascii="方正仿宋_GBK" w:eastAsia="方正仿宋_GBK" w:hAnsi="华文仿宋" w:cs="Arial" w:hint="eastAsia"/>
          <w:color w:val="000000" w:themeColor="text1"/>
          <w:sz w:val="32"/>
          <w:szCs w:val="32"/>
        </w:rPr>
        <w:t>预付卡</w:t>
      </w:r>
      <w:r>
        <w:rPr>
          <w:rFonts w:ascii="方正仿宋_GBK" w:eastAsia="方正仿宋_GBK" w:hAnsi="华文仿宋" w:cs="Arial" w:hint="eastAsia"/>
          <w:color w:val="000000" w:themeColor="text1"/>
          <w:sz w:val="32"/>
          <w:szCs w:val="32"/>
        </w:rPr>
        <w:t>信息披露与查询、信用承诺、售后配套服务、投诉处理、预收款余额退回、风险提示、保密事项</w:t>
      </w:r>
      <w:r w:rsidR="002E7BC3">
        <w:rPr>
          <w:rFonts w:ascii="方正仿宋_GBK" w:eastAsia="方正仿宋_GBK" w:hAnsi="华文仿宋" w:cs="Arial" w:hint="eastAsia"/>
          <w:color w:val="000000" w:themeColor="text1"/>
          <w:sz w:val="32"/>
          <w:szCs w:val="32"/>
        </w:rPr>
        <w:t>等权利义务以及</w:t>
      </w:r>
      <w:r>
        <w:rPr>
          <w:rFonts w:ascii="方正仿宋_GBK" w:eastAsia="方正仿宋_GBK" w:hAnsi="华文仿宋" w:cs="Arial" w:hint="eastAsia"/>
          <w:color w:val="000000" w:themeColor="text1"/>
          <w:sz w:val="32"/>
          <w:szCs w:val="32"/>
        </w:rPr>
        <w:t>违约责任、争议解决方式</w:t>
      </w:r>
      <w:r w:rsidR="002E7BC3">
        <w:rPr>
          <w:rFonts w:ascii="方正仿宋_GBK" w:eastAsia="方正仿宋_GBK" w:hAnsi="华文仿宋" w:cs="Arial" w:hint="eastAsia"/>
          <w:color w:val="000000" w:themeColor="text1"/>
          <w:sz w:val="32"/>
          <w:szCs w:val="32"/>
        </w:rPr>
        <w:t>等</w:t>
      </w:r>
      <w:r>
        <w:rPr>
          <w:rFonts w:ascii="方正仿宋_GBK" w:eastAsia="方正仿宋_GBK" w:hAnsi="华文仿宋" w:cs="Arial" w:hint="eastAsia"/>
          <w:color w:val="000000" w:themeColor="text1"/>
          <w:sz w:val="32"/>
          <w:szCs w:val="32"/>
        </w:rPr>
        <w:t>内容。</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预付卡合同示范文本，由省市场监管部门会同省商务部门依法制定。</w:t>
      </w:r>
    </w:p>
    <w:p w:rsidR="00000000" w:rsidRDefault="003839EF">
      <w:pPr>
        <w:snapToGrid w:val="0"/>
        <w:spacing w:line="590" w:lineRule="exact"/>
        <w:ind w:firstLineChars="200" w:firstLine="640"/>
        <w:jc w:val="both"/>
        <w:rPr>
          <w:rFonts w:ascii="方正仿宋_GBK" w:eastAsia="方正仿宋_GBK" w:hAnsi="华文仿宋" w:cs="Arial"/>
          <w:color w:val="000000" w:themeColor="text1"/>
          <w:sz w:val="32"/>
          <w:szCs w:val="32"/>
        </w:rPr>
      </w:pPr>
    </w:p>
    <w:p w:rsidR="002E7BC3" w:rsidRPr="002E7BC3" w:rsidRDefault="002E7BC3" w:rsidP="002E7BC3">
      <w:pPr>
        <w:snapToGrid w:val="0"/>
        <w:spacing w:line="590" w:lineRule="exact"/>
        <w:jc w:val="center"/>
        <w:rPr>
          <w:rFonts w:ascii="黑体" w:eastAsia="黑体" w:hAnsi="黑体" w:cs="Arial"/>
          <w:color w:val="000000" w:themeColor="text1"/>
          <w:sz w:val="32"/>
          <w:szCs w:val="32"/>
        </w:rPr>
      </w:pPr>
      <w:r w:rsidRPr="002E7BC3">
        <w:rPr>
          <w:rFonts w:ascii="黑体" w:eastAsia="黑体" w:hAnsi="黑体" w:cs="Arial" w:hint="eastAsia"/>
          <w:color w:val="000000" w:themeColor="text1"/>
          <w:sz w:val="32"/>
          <w:szCs w:val="32"/>
        </w:rPr>
        <w:t>第</w:t>
      </w:r>
      <w:r>
        <w:rPr>
          <w:rFonts w:ascii="黑体" w:eastAsia="黑体" w:hAnsi="黑体" w:cs="Arial" w:hint="eastAsia"/>
          <w:color w:val="000000" w:themeColor="text1"/>
          <w:sz w:val="32"/>
          <w:szCs w:val="32"/>
        </w:rPr>
        <w:t>三</w:t>
      </w:r>
      <w:r w:rsidRPr="002E7BC3">
        <w:rPr>
          <w:rFonts w:ascii="黑体" w:eastAsia="黑体" w:hAnsi="黑体" w:cs="Arial" w:hint="eastAsia"/>
          <w:color w:val="000000" w:themeColor="text1"/>
          <w:sz w:val="32"/>
          <w:szCs w:val="32"/>
        </w:rPr>
        <w:t xml:space="preserve">章　</w:t>
      </w:r>
      <w:r>
        <w:rPr>
          <w:rFonts w:ascii="黑体" w:eastAsia="黑体" w:hAnsi="黑体" w:cs="Arial" w:hint="eastAsia"/>
          <w:color w:val="000000" w:themeColor="text1"/>
          <w:sz w:val="32"/>
          <w:szCs w:val="32"/>
        </w:rPr>
        <w:t>预付卡发行</w:t>
      </w:r>
      <w:r w:rsidR="00AE3C4F">
        <w:rPr>
          <w:rFonts w:ascii="黑体" w:eastAsia="黑体" w:hAnsi="黑体" w:cs="Arial" w:hint="eastAsia"/>
          <w:color w:val="000000" w:themeColor="text1"/>
          <w:sz w:val="32"/>
          <w:szCs w:val="32"/>
        </w:rPr>
        <w:t>和兑付</w:t>
      </w:r>
      <w:r w:rsidR="00A761EC">
        <w:rPr>
          <w:rFonts w:ascii="黑体" w:eastAsia="黑体" w:hAnsi="黑体" w:cs="Arial" w:hint="eastAsia"/>
          <w:color w:val="000000" w:themeColor="text1"/>
          <w:sz w:val="32"/>
          <w:szCs w:val="32"/>
        </w:rPr>
        <w:t>规</w:t>
      </w:r>
      <w:r>
        <w:rPr>
          <w:rFonts w:ascii="黑体" w:eastAsia="黑体" w:hAnsi="黑体" w:cs="Arial" w:hint="eastAsia"/>
          <w:color w:val="000000" w:themeColor="text1"/>
          <w:sz w:val="32"/>
          <w:szCs w:val="32"/>
        </w:rPr>
        <w:t>范</w:t>
      </w:r>
    </w:p>
    <w:p w:rsidR="00000000" w:rsidRDefault="003839EF">
      <w:pPr>
        <w:snapToGrid w:val="0"/>
        <w:spacing w:line="590" w:lineRule="exact"/>
        <w:ind w:firstLineChars="200" w:firstLine="640"/>
        <w:jc w:val="both"/>
        <w:rPr>
          <w:rFonts w:ascii="方正仿宋_GBK" w:eastAsia="方正仿宋_GBK" w:hAnsi="华文仿宋" w:cs="Arial"/>
          <w:color w:val="000000" w:themeColor="text1"/>
          <w:sz w:val="32"/>
          <w:szCs w:val="32"/>
        </w:rPr>
      </w:pPr>
    </w:p>
    <w:p w:rsidR="00000000" w:rsidRDefault="00131A7F">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第十六条</w:t>
      </w:r>
      <w:r>
        <w:rPr>
          <w:rFonts w:ascii="方正仿宋_GBK" w:eastAsia="方正仿宋_GBK" w:hAnsi="华文仿宋" w:cs="Arial" w:hint="eastAsia"/>
          <w:color w:val="000000" w:themeColor="text1"/>
          <w:sz w:val="32"/>
          <w:szCs w:val="32"/>
        </w:rPr>
        <w:t xml:space="preserve">　</w:t>
      </w:r>
      <w:r w:rsidR="009F690E">
        <w:rPr>
          <w:rFonts w:ascii="方正仿宋_GBK" w:eastAsia="方正仿宋_GBK" w:hAnsi="华文仿宋" w:cs="Arial" w:hint="eastAsia"/>
          <w:color w:val="000000" w:themeColor="text1"/>
          <w:sz w:val="32"/>
          <w:szCs w:val="32"/>
        </w:rPr>
        <w:t>经营者发行预付卡不得违反国家禁止性规定，不得以发行预付卡的方式变相从事金融业务。</w:t>
      </w:r>
    </w:p>
    <w:p w:rsidR="00D93F79" w:rsidRPr="00CD166C" w:rsidRDefault="00131A7F" w:rsidP="009B5491">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第十七条</w:t>
      </w:r>
      <w:r>
        <w:rPr>
          <w:rFonts w:ascii="方正仿宋_GBK" w:eastAsia="方正仿宋_GBK" w:hAnsi="华文仿宋" w:cs="Arial" w:hint="eastAsia"/>
          <w:color w:val="000000" w:themeColor="text1"/>
          <w:sz w:val="32"/>
          <w:szCs w:val="32"/>
        </w:rPr>
        <w:t xml:space="preserve">　</w:t>
      </w:r>
      <w:r w:rsidR="009F690E">
        <w:rPr>
          <w:rFonts w:ascii="方正仿宋_GBK" w:eastAsia="方正仿宋_GBK" w:hAnsi="华文仿宋" w:cs="Arial" w:hint="eastAsia"/>
          <w:color w:val="000000" w:themeColor="text1"/>
          <w:sz w:val="32"/>
          <w:szCs w:val="32"/>
        </w:rPr>
        <w:t>预付卡单张限额、有效期、预收资金余额处理以及购卡登记和方式等应当符合有关法律、法规、规章的规定，预付卡发行规模应当符合经营者的经营能力和净资产情况。</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color w:val="000000" w:themeColor="text1"/>
          <w:sz w:val="32"/>
          <w:szCs w:val="32"/>
        </w:rPr>
        <w:t>经营者发行预付卡的，单张记名卡限额不得超过5</w:t>
      </w:r>
      <w:r w:rsidR="008E351C">
        <w:rPr>
          <w:rFonts w:ascii="方正仿宋_GBK" w:eastAsia="方正仿宋_GBK" w:hAnsi="华文仿宋" w:cs="Arial" w:hint="eastAsia"/>
          <w:color w:val="000000" w:themeColor="text1"/>
          <w:sz w:val="32"/>
          <w:szCs w:val="32"/>
        </w:rPr>
        <w:t>000</w:t>
      </w:r>
      <w:r>
        <w:rPr>
          <w:rFonts w:ascii="方正仿宋_GBK" w:eastAsia="方正仿宋_GBK" w:hAnsi="华文仿宋" w:cs="Arial"/>
          <w:color w:val="000000" w:themeColor="text1"/>
          <w:sz w:val="32"/>
          <w:szCs w:val="32"/>
        </w:rPr>
        <w:t>元，单张不记名卡限额不得超过1</w:t>
      </w:r>
      <w:r w:rsidR="008E351C">
        <w:rPr>
          <w:rFonts w:ascii="方正仿宋_GBK" w:eastAsia="方正仿宋_GBK" w:hAnsi="华文仿宋" w:cs="Arial" w:hint="eastAsia"/>
          <w:color w:val="000000" w:themeColor="text1"/>
          <w:sz w:val="32"/>
          <w:szCs w:val="32"/>
        </w:rPr>
        <w:t>000</w:t>
      </w:r>
      <w:r>
        <w:rPr>
          <w:rFonts w:ascii="方正仿宋_GBK" w:eastAsia="方正仿宋_GBK" w:hAnsi="华文仿宋" w:cs="Arial"/>
          <w:color w:val="000000" w:themeColor="text1"/>
          <w:sz w:val="32"/>
          <w:szCs w:val="32"/>
        </w:rPr>
        <w:t>元。其中，个体工商户需要发行预付卡的，单张限额不得超过1</w:t>
      </w:r>
      <w:r w:rsidR="008E351C">
        <w:rPr>
          <w:rFonts w:ascii="方正仿宋_GBK" w:eastAsia="方正仿宋_GBK" w:hAnsi="华文仿宋" w:cs="Arial" w:hint="eastAsia"/>
          <w:color w:val="000000" w:themeColor="text1"/>
          <w:sz w:val="32"/>
          <w:szCs w:val="32"/>
        </w:rPr>
        <w:t>000</w:t>
      </w:r>
      <w:r>
        <w:rPr>
          <w:rFonts w:ascii="方正仿宋_GBK" w:eastAsia="方正仿宋_GBK" w:hAnsi="华文仿宋" w:cs="Arial"/>
          <w:color w:val="000000" w:themeColor="text1"/>
          <w:sz w:val="32"/>
          <w:szCs w:val="32"/>
        </w:rPr>
        <w:t>元。预付卡不得设定有效期。</w:t>
      </w:r>
    </w:p>
    <w:p w:rsidR="00541024" w:rsidRDefault="00541024" w:rsidP="00541024">
      <w:pPr>
        <w:snapToGrid w:val="0"/>
        <w:spacing w:line="590" w:lineRule="exact"/>
        <w:ind w:firstLineChars="200" w:firstLine="640"/>
        <w:jc w:val="both"/>
        <w:rPr>
          <w:rFonts w:ascii="方正仿宋_GBK" w:eastAsia="方正仿宋_GBK" w:hAnsi="华文仿宋"/>
          <w:color w:val="000000" w:themeColor="text1"/>
          <w:sz w:val="32"/>
          <w:szCs w:val="32"/>
        </w:rPr>
      </w:pPr>
      <w:r>
        <w:rPr>
          <w:rFonts w:ascii="方正仿宋_GBK" w:eastAsia="方正仿宋_GBK" w:hAnsi="华文仿宋" w:cs="Arial" w:hint="eastAsia"/>
          <w:color w:val="000000" w:themeColor="text1"/>
          <w:sz w:val="32"/>
          <w:szCs w:val="32"/>
        </w:rPr>
        <w:t>发行预付卡的经营者</w:t>
      </w:r>
      <w:r>
        <w:rPr>
          <w:rFonts w:ascii="方正仿宋_GBK" w:eastAsia="方正仿宋_GBK" w:hAnsi="华文仿宋" w:hint="eastAsia"/>
          <w:color w:val="000000" w:themeColor="text1"/>
          <w:sz w:val="32"/>
          <w:szCs w:val="32"/>
        </w:rPr>
        <w:t>对购买记名预付卡和一次性购买</w:t>
      </w:r>
      <w:r>
        <w:rPr>
          <w:rFonts w:ascii="方正仿宋_GBK" w:eastAsia="方正仿宋_GBK" w:hAnsi="华文仿宋"/>
          <w:color w:val="000000" w:themeColor="text1"/>
          <w:sz w:val="32"/>
          <w:szCs w:val="32"/>
        </w:rPr>
        <w:t>1万元以上不记名</w:t>
      </w:r>
      <w:r>
        <w:rPr>
          <w:rFonts w:ascii="方正仿宋_GBK" w:eastAsia="方正仿宋_GBK" w:hAnsi="华文仿宋" w:hint="eastAsia"/>
          <w:color w:val="000000" w:themeColor="text1"/>
          <w:sz w:val="32"/>
          <w:szCs w:val="32"/>
        </w:rPr>
        <w:t>预付卡的单位或者个人进行实名登记。单位一次性</w:t>
      </w:r>
      <w:r>
        <w:rPr>
          <w:rFonts w:ascii="方正仿宋_GBK" w:eastAsia="方正仿宋_GBK" w:hAnsi="华文仿宋" w:hint="eastAsia"/>
          <w:color w:val="000000" w:themeColor="text1"/>
          <w:sz w:val="32"/>
          <w:szCs w:val="32"/>
        </w:rPr>
        <w:lastRenderedPageBreak/>
        <w:t>购卡金额达</w:t>
      </w:r>
      <w:r>
        <w:rPr>
          <w:rFonts w:ascii="方正仿宋_GBK" w:eastAsia="方正仿宋_GBK" w:hAnsi="华文仿宋"/>
          <w:color w:val="000000" w:themeColor="text1"/>
          <w:sz w:val="32"/>
          <w:szCs w:val="32"/>
        </w:rPr>
        <w:t>5</w:t>
      </w:r>
      <w:r>
        <w:rPr>
          <w:rFonts w:ascii="方正仿宋_GBK" w:eastAsia="方正仿宋_GBK" w:hAnsi="华文仿宋" w:hint="eastAsia"/>
          <w:color w:val="000000" w:themeColor="text1"/>
          <w:sz w:val="32"/>
          <w:szCs w:val="32"/>
        </w:rPr>
        <w:t>000元以上或者个人一次性购卡金额达</w:t>
      </w:r>
      <w:r>
        <w:rPr>
          <w:rFonts w:ascii="方正仿宋_GBK" w:eastAsia="方正仿宋_GBK" w:hAnsi="华文仿宋"/>
          <w:color w:val="000000" w:themeColor="text1"/>
          <w:sz w:val="32"/>
          <w:szCs w:val="32"/>
        </w:rPr>
        <w:t>5万元以上的，通过银行转账方式购买，不得使用现金；</w:t>
      </w:r>
      <w:r>
        <w:rPr>
          <w:rFonts w:ascii="方正仿宋_GBK" w:eastAsia="方正仿宋_GBK" w:hAnsi="华文仿宋" w:cs="Arial" w:hint="eastAsia"/>
          <w:color w:val="000000" w:themeColor="text1"/>
          <w:sz w:val="32"/>
          <w:szCs w:val="32"/>
        </w:rPr>
        <w:t>发行预付卡的经营者</w:t>
      </w:r>
      <w:r>
        <w:rPr>
          <w:rFonts w:ascii="方正仿宋_GBK" w:eastAsia="方正仿宋_GBK" w:hAnsi="华文仿宋" w:hint="eastAsia"/>
          <w:color w:val="000000" w:themeColor="text1"/>
          <w:sz w:val="32"/>
          <w:szCs w:val="32"/>
        </w:rPr>
        <w:t>对使用转账方式购卡的转出、转入账户名称、账号、金额等进行逐笔登记。</w:t>
      </w:r>
    </w:p>
    <w:p w:rsidR="00000000" w:rsidRDefault="009F690E">
      <w:pPr>
        <w:snapToGrid w:val="0"/>
        <w:spacing w:line="590" w:lineRule="exact"/>
        <w:ind w:firstLineChars="200" w:firstLine="640"/>
        <w:jc w:val="both"/>
        <w:rPr>
          <w:rFonts w:ascii="方正仿宋_GBK" w:eastAsia="方正仿宋_GBK" w:hAnsi="华文仿宋"/>
          <w:color w:val="000000" w:themeColor="text1"/>
          <w:sz w:val="32"/>
          <w:szCs w:val="32"/>
        </w:rPr>
      </w:pPr>
      <w:r>
        <w:rPr>
          <w:rFonts w:ascii="方正仿宋_GBK" w:eastAsia="方正仿宋_GBK" w:hAnsi="华文仿宋" w:cs="Arial" w:hint="eastAsia"/>
          <w:color w:val="000000" w:themeColor="text1"/>
          <w:sz w:val="32"/>
          <w:szCs w:val="32"/>
        </w:rPr>
        <w:t>有关部门和行业组织可以根据本行业、本领域预付卡管理的实际情况，</w:t>
      </w:r>
      <w:r>
        <w:rPr>
          <w:rFonts w:ascii="方正仿宋_GBK" w:eastAsia="方正仿宋_GBK" w:hAnsi="华文仿宋" w:hint="eastAsia"/>
          <w:color w:val="000000" w:themeColor="text1"/>
          <w:sz w:val="32"/>
          <w:szCs w:val="32"/>
        </w:rPr>
        <w:t>依法制定</w:t>
      </w:r>
      <w:r w:rsidR="00DD6B84" w:rsidRPr="00DD6B84">
        <w:rPr>
          <w:rFonts w:ascii="方正仿宋_GBK" w:eastAsia="方正仿宋_GBK" w:hAnsi="华文仿宋" w:hint="eastAsia"/>
          <w:color w:val="000000" w:themeColor="text1"/>
          <w:sz w:val="32"/>
          <w:szCs w:val="32"/>
        </w:rPr>
        <w:t>预付卡发行</w:t>
      </w:r>
      <w:r>
        <w:rPr>
          <w:rFonts w:ascii="方正仿宋_GBK" w:eastAsia="方正仿宋_GBK" w:hAnsi="华文仿宋" w:hint="eastAsia"/>
          <w:color w:val="000000" w:themeColor="text1"/>
          <w:sz w:val="32"/>
          <w:szCs w:val="32"/>
        </w:rPr>
        <w:t>指导限额。</w:t>
      </w:r>
    </w:p>
    <w:p w:rsidR="00000000" w:rsidRDefault="00131A7F">
      <w:pPr>
        <w:snapToGrid w:val="0"/>
        <w:spacing w:line="590" w:lineRule="exact"/>
        <w:ind w:firstLineChars="200" w:firstLine="640"/>
        <w:jc w:val="both"/>
        <w:rPr>
          <w:rFonts w:ascii="方正仿宋_GBK" w:eastAsia="方正仿宋_GBK" w:hAnsi="华文仿宋"/>
          <w:color w:val="000000" w:themeColor="text1"/>
          <w:sz w:val="32"/>
          <w:szCs w:val="32"/>
        </w:rPr>
      </w:pPr>
      <w:r>
        <w:rPr>
          <w:rFonts w:ascii="黑体" w:eastAsia="黑体" w:hAnsi="黑体" w:cs="Arial" w:hint="eastAsia"/>
          <w:color w:val="000000" w:themeColor="text1"/>
          <w:sz w:val="32"/>
          <w:szCs w:val="32"/>
        </w:rPr>
        <w:t xml:space="preserve">第十八条　</w:t>
      </w:r>
      <w:r>
        <w:rPr>
          <w:rFonts w:ascii="方正仿宋_GBK" w:eastAsia="方正仿宋_GBK" w:hAnsi="华文仿宋" w:hint="eastAsia"/>
          <w:color w:val="000000" w:themeColor="text1"/>
          <w:sz w:val="32"/>
          <w:szCs w:val="32"/>
        </w:rPr>
        <w:t>经营者发行预付卡，应当在卡面或者凭证上记载经营者名称以及联系方式、使用规则、信息查询</w:t>
      </w:r>
      <w:r>
        <w:rPr>
          <w:rFonts w:ascii="方正仿宋_GBK" w:eastAsia="方正仿宋_GBK" w:hAnsi="华文仿宋" w:cs="Arial" w:hint="eastAsia"/>
          <w:color w:val="000000" w:themeColor="text1"/>
          <w:sz w:val="32"/>
          <w:szCs w:val="32"/>
        </w:rPr>
        <w:t>渠道、</w:t>
      </w:r>
      <w:r>
        <w:rPr>
          <w:rFonts w:ascii="方正仿宋_GBK" w:eastAsia="方正仿宋_GBK" w:hAnsi="华文仿宋" w:hint="eastAsia"/>
          <w:color w:val="000000" w:themeColor="text1"/>
          <w:sz w:val="32"/>
          <w:szCs w:val="32"/>
        </w:rPr>
        <w:t>投诉举报方式、注意事项等。</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第十</w:t>
      </w:r>
      <w:r w:rsidR="00131A7F">
        <w:rPr>
          <w:rFonts w:ascii="黑体" w:eastAsia="黑体" w:hAnsi="黑体" w:cs="Arial" w:hint="eastAsia"/>
          <w:color w:val="000000" w:themeColor="text1"/>
          <w:sz w:val="32"/>
          <w:szCs w:val="32"/>
        </w:rPr>
        <w:t>九</w:t>
      </w:r>
      <w:r>
        <w:rPr>
          <w:rFonts w:ascii="黑体" w:eastAsia="黑体" w:hAnsi="黑体" w:cs="Arial" w:hint="eastAsia"/>
          <w:color w:val="000000" w:themeColor="text1"/>
          <w:sz w:val="32"/>
          <w:szCs w:val="32"/>
        </w:rPr>
        <w:t>条</w:t>
      </w:r>
      <w:r w:rsidR="00994D2B">
        <w:rPr>
          <w:rFonts w:ascii="黑体" w:eastAsia="黑体" w:hAnsi="黑体" w:cs="Arial" w:hint="eastAsia"/>
          <w:color w:val="000000" w:themeColor="text1"/>
          <w:sz w:val="32"/>
          <w:szCs w:val="32"/>
        </w:rPr>
        <w:t xml:space="preserve">　</w:t>
      </w:r>
      <w:r>
        <w:rPr>
          <w:rFonts w:ascii="方正仿宋_GBK" w:eastAsia="方正仿宋_GBK" w:hAnsi="华文仿宋" w:cs="Arial" w:hint="eastAsia"/>
          <w:color w:val="000000" w:themeColor="text1"/>
          <w:sz w:val="32"/>
          <w:szCs w:val="32"/>
        </w:rPr>
        <w:t>经营者有下列情形之一的</w:t>
      </w:r>
      <w:r w:rsidR="002E7BC3">
        <w:rPr>
          <w:rFonts w:ascii="方正仿宋_GBK" w:eastAsia="方正仿宋_GBK" w:hAnsi="华文仿宋" w:cs="Arial" w:hint="eastAsia"/>
          <w:color w:val="000000" w:themeColor="text1"/>
          <w:sz w:val="32"/>
          <w:szCs w:val="32"/>
        </w:rPr>
        <w:t>，</w:t>
      </w:r>
      <w:r>
        <w:rPr>
          <w:rFonts w:ascii="方正仿宋_GBK" w:eastAsia="方正仿宋_GBK" w:hAnsi="华文仿宋" w:cs="Arial" w:hint="eastAsia"/>
          <w:color w:val="000000" w:themeColor="text1"/>
          <w:sz w:val="32"/>
          <w:szCs w:val="32"/>
        </w:rPr>
        <w:t>不得发行预付卡：</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（一）经营者或者其投资人被列为失信被执行人或者有严重失信行为，</w:t>
      </w:r>
      <w:r>
        <w:rPr>
          <w:rFonts w:ascii="仿宋" w:eastAsia="仿宋" w:hAnsi="仿宋" w:hint="eastAsia"/>
          <w:sz w:val="32"/>
          <w:szCs w:val="32"/>
        </w:rPr>
        <w:t>信用</w:t>
      </w:r>
      <w:r w:rsidR="002E7BC3">
        <w:rPr>
          <w:rFonts w:ascii="仿宋" w:eastAsia="仿宋" w:hAnsi="仿宋" w:hint="eastAsia"/>
          <w:sz w:val="32"/>
          <w:szCs w:val="32"/>
        </w:rPr>
        <w:t>尚未</w:t>
      </w:r>
      <w:r>
        <w:rPr>
          <w:rFonts w:ascii="仿宋" w:eastAsia="仿宋" w:hAnsi="仿宋" w:hint="eastAsia"/>
          <w:sz w:val="32"/>
          <w:szCs w:val="32"/>
        </w:rPr>
        <w:t>修复</w:t>
      </w:r>
      <w:r>
        <w:rPr>
          <w:rFonts w:ascii="方正仿宋_GBK" w:eastAsia="方正仿宋_GBK" w:hAnsi="华文仿宋" w:cs="Arial" w:hint="eastAsia"/>
          <w:color w:val="000000" w:themeColor="text1"/>
          <w:sz w:val="32"/>
          <w:szCs w:val="32"/>
        </w:rPr>
        <w:t>；</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（二）经营者或者其投资人处于列入经营异常名录期间；</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（三）法律、法规、规章规定的其他情形。</w:t>
      </w:r>
    </w:p>
    <w:p w:rsidR="00910B2D" w:rsidRPr="00CD166C" w:rsidRDefault="00DD6B84" w:rsidP="00910B2D">
      <w:pPr>
        <w:snapToGrid w:val="0"/>
        <w:spacing w:line="590" w:lineRule="exact"/>
        <w:ind w:firstLineChars="200" w:firstLine="640"/>
        <w:jc w:val="both"/>
        <w:rPr>
          <w:rFonts w:ascii="方正仿宋_GBK" w:eastAsia="方正仿宋_GBK" w:hAnsi="华文仿宋" w:cs="Arial"/>
          <w:color w:val="000000" w:themeColor="text1"/>
          <w:sz w:val="32"/>
          <w:szCs w:val="32"/>
        </w:rPr>
      </w:pPr>
      <w:r w:rsidRPr="00DD6B84">
        <w:rPr>
          <w:rFonts w:ascii="黑体" w:eastAsia="黑体" w:hAnsi="黑体" w:cs="Arial" w:hint="eastAsia"/>
          <w:color w:val="000000" w:themeColor="text1"/>
          <w:sz w:val="32"/>
          <w:szCs w:val="32"/>
        </w:rPr>
        <w:t>第</w:t>
      </w:r>
      <w:r w:rsidR="00131A7F">
        <w:rPr>
          <w:rFonts w:ascii="黑体" w:eastAsia="黑体" w:hAnsi="黑体" w:cs="Arial" w:hint="eastAsia"/>
          <w:color w:val="000000" w:themeColor="text1"/>
          <w:sz w:val="32"/>
          <w:szCs w:val="32"/>
        </w:rPr>
        <w:t>二十</w:t>
      </w:r>
      <w:r w:rsidRPr="00DD6B84">
        <w:rPr>
          <w:rFonts w:ascii="黑体" w:eastAsia="黑体" w:hAnsi="黑体" w:cs="Arial" w:hint="eastAsia"/>
          <w:color w:val="000000" w:themeColor="text1"/>
          <w:sz w:val="32"/>
          <w:szCs w:val="32"/>
        </w:rPr>
        <w:t>条</w:t>
      </w:r>
      <w:r w:rsidR="002E7BC3">
        <w:rPr>
          <w:rFonts w:ascii="黑体" w:eastAsia="黑体" w:hAnsi="黑体" w:cs="Arial" w:hint="eastAsia"/>
          <w:color w:val="000000" w:themeColor="text1"/>
          <w:sz w:val="32"/>
          <w:szCs w:val="32"/>
        </w:rPr>
        <w:t xml:space="preserve">　</w:t>
      </w:r>
      <w:r w:rsidR="009F690E">
        <w:rPr>
          <w:rFonts w:ascii="方正仿宋_GBK" w:eastAsia="方正仿宋_GBK" w:hAnsi="华文仿宋" w:cs="Arial" w:hint="eastAsia"/>
          <w:color w:val="000000" w:themeColor="text1"/>
          <w:sz w:val="32"/>
          <w:szCs w:val="32"/>
        </w:rPr>
        <w:t>经营者应当按照国家和省有关规定，确保预收资金专款专用于主营业务经营相关收支，对预收资金加强管理和风险控制。</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w:t>
      </w:r>
      <w:r w:rsidR="00131A7F">
        <w:rPr>
          <w:rFonts w:ascii="黑体" w:eastAsia="黑体" w:hAnsi="黑体" w:cs="Arial" w:hint="eastAsia"/>
          <w:color w:val="000000" w:themeColor="text1"/>
          <w:sz w:val="32"/>
          <w:szCs w:val="32"/>
        </w:rPr>
        <w:t>二十一</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w:t>
      </w:r>
      <w:r>
        <w:rPr>
          <w:rFonts w:ascii="方正仿宋_GBK" w:eastAsia="方正仿宋_GBK" w:hAnsi="华文仿宋" w:hint="eastAsia"/>
          <w:color w:val="000000" w:themeColor="text1"/>
          <w:sz w:val="32"/>
          <w:szCs w:val="32"/>
        </w:rPr>
        <w:t>经营者应当对其</w:t>
      </w:r>
      <w:r w:rsidR="00975976">
        <w:rPr>
          <w:rFonts w:ascii="方正仿宋_GBK" w:eastAsia="方正仿宋_GBK" w:hAnsi="华文仿宋" w:hint="eastAsia"/>
          <w:color w:val="000000" w:themeColor="text1"/>
          <w:sz w:val="32"/>
          <w:szCs w:val="32"/>
        </w:rPr>
        <w:t>发行</w:t>
      </w:r>
      <w:r>
        <w:rPr>
          <w:rFonts w:ascii="方正仿宋_GBK" w:eastAsia="方正仿宋_GBK" w:hAnsi="华文仿宋" w:hint="eastAsia"/>
          <w:color w:val="000000" w:themeColor="text1"/>
          <w:sz w:val="32"/>
          <w:szCs w:val="32"/>
        </w:rPr>
        <w:t>的预付卡向消费者提供担保。鼓励经营者在商业银行开立预付卡资金存管账户，在经营场所定期公示预付卡资金总量和使用情况。</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lastRenderedPageBreak/>
        <w:t>预付卡经营者应当根据预收资金和主营业务情况，通过履约保证金、银行保函或者保证保险等方式，增强风险承担能力，保障消费者预付资金安全。</w:t>
      </w:r>
    </w:p>
    <w:p w:rsidR="00E33958" w:rsidRPr="00CD166C" w:rsidRDefault="009F690E" w:rsidP="00437C8F">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县级以上地方人民政府支持金融保险机构开展产品创新和技术创新，为消费者和预付卡经营者提供担保或者保险服务，发挥商业担保及保险平衡稳定市场的调节作用和风险补偿的兜底作用。</w:t>
      </w:r>
    </w:p>
    <w:p w:rsidR="00933C18" w:rsidRDefault="00933C18" w:rsidP="00933C18">
      <w:pPr>
        <w:snapToGrid w:val="0"/>
        <w:spacing w:line="590" w:lineRule="exact"/>
        <w:ind w:firstLineChars="200" w:firstLine="640"/>
        <w:jc w:val="both"/>
        <w:rPr>
          <w:rFonts w:ascii="方正仿宋_GBK" w:eastAsia="方正仿宋_GBK" w:hAnsi="华文仿宋"/>
          <w:color w:val="000000" w:themeColor="text1"/>
          <w:sz w:val="32"/>
          <w:szCs w:val="32"/>
        </w:rPr>
      </w:pPr>
      <w:r>
        <w:rPr>
          <w:rFonts w:ascii="方正仿宋_GBK" w:eastAsia="方正仿宋_GBK" w:hAnsi="华文仿宋" w:cs="Arial" w:hint="eastAsia"/>
          <w:color w:val="000000" w:themeColor="text1"/>
          <w:sz w:val="32"/>
          <w:szCs w:val="32"/>
        </w:rPr>
        <w:t>有关部门和行业组织可以根据本行业、本领域预付卡管理的实际情况，</w:t>
      </w:r>
      <w:r>
        <w:rPr>
          <w:rFonts w:ascii="方正仿宋_GBK" w:eastAsia="方正仿宋_GBK" w:hAnsi="华文仿宋" w:hint="eastAsia"/>
          <w:color w:val="000000" w:themeColor="text1"/>
          <w:sz w:val="32"/>
          <w:szCs w:val="32"/>
        </w:rPr>
        <w:t>依法制定资金保障指导比例。</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第二十</w:t>
      </w:r>
      <w:r w:rsidR="00FC39ED">
        <w:rPr>
          <w:rFonts w:ascii="黑体" w:eastAsia="黑体" w:hAnsi="黑体" w:cs="Arial" w:hint="eastAsia"/>
          <w:color w:val="000000" w:themeColor="text1"/>
          <w:sz w:val="32"/>
          <w:szCs w:val="32"/>
        </w:rPr>
        <w:t>二</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经营者应当在经营场所、网站首页进行预付卡风险提示，倡导消费者理性消费，并公示或者向消费者提供预付卡章程。预付卡章程应当包括预付卡使用范围、预收资金用途和管理方式、余额查询渠道、退卡方式等内容。</w:t>
      </w:r>
    </w:p>
    <w:p w:rsidR="00C17366" w:rsidRDefault="009F690E">
      <w:pPr>
        <w:snapToGrid w:val="0"/>
        <w:spacing w:line="590" w:lineRule="exact"/>
        <w:ind w:firstLineChars="200" w:firstLine="640"/>
        <w:jc w:val="both"/>
        <w:rPr>
          <w:rFonts w:ascii="方正仿宋_GBK" w:eastAsia="方正仿宋_GBK" w:hAnsi="华文仿宋"/>
          <w:color w:val="000000" w:themeColor="text1"/>
          <w:sz w:val="32"/>
          <w:szCs w:val="32"/>
        </w:rPr>
      </w:pPr>
      <w:r>
        <w:rPr>
          <w:rFonts w:ascii="黑体" w:eastAsia="黑体" w:hAnsi="黑体" w:cs="Arial" w:hint="eastAsia"/>
          <w:color w:val="000000" w:themeColor="text1"/>
          <w:sz w:val="32"/>
          <w:szCs w:val="32"/>
        </w:rPr>
        <w:t>第二十</w:t>
      </w:r>
      <w:r w:rsidR="00FC39ED">
        <w:rPr>
          <w:rFonts w:ascii="黑体" w:eastAsia="黑体" w:hAnsi="黑体" w:cs="Arial" w:hint="eastAsia"/>
          <w:color w:val="000000" w:themeColor="text1"/>
          <w:sz w:val="32"/>
          <w:szCs w:val="32"/>
        </w:rPr>
        <w:t>三</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w:t>
      </w:r>
      <w:r>
        <w:rPr>
          <w:rFonts w:ascii="方正仿宋_GBK" w:eastAsia="方正仿宋_GBK" w:hAnsi="华文仿宋" w:hint="eastAsia"/>
          <w:color w:val="000000" w:themeColor="text1"/>
          <w:sz w:val="32"/>
          <w:szCs w:val="32"/>
        </w:rPr>
        <w:t>经营者应当与消费者签订</w:t>
      </w:r>
      <w:r>
        <w:rPr>
          <w:rFonts w:ascii="方正仿宋_GBK" w:eastAsia="方正仿宋_GBK" w:hAnsi="华文仿宋" w:cs="Arial" w:hint="eastAsia"/>
          <w:color w:val="000000" w:themeColor="text1"/>
          <w:sz w:val="32"/>
          <w:szCs w:val="32"/>
        </w:rPr>
        <w:t>预付卡合同，并</w:t>
      </w:r>
      <w:r>
        <w:rPr>
          <w:rFonts w:ascii="方正仿宋_GBK" w:eastAsia="方正仿宋_GBK" w:hAnsi="华文仿宋" w:hint="eastAsia"/>
          <w:color w:val="000000" w:themeColor="text1"/>
          <w:sz w:val="32"/>
          <w:szCs w:val="32"/>
        </w:rPr>
        <w:t>保存合同以及履行合同的相关资料，方便消费者查询、复制。相关资料应当至少保存至合同履行完毕后两年。</w:t>
      </w:r>
    </w:p>
    <w:p w:rsidR="00933C18" w:rsidRDefault="00933C18" w:rsidP="00933C18">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第二十</w:t>
      </w:r>
      <w:r w:rsidR="00FC39ED">
        <w:rPr>
          <w:rFonts w:ascii="黑体" w:eastAsia="黑体" w:hAnsi="黑体" w:cs="Arial" w:hint="eastAsia"/>
          <w:color w:val="000000" w:themeColor="text1"/>
          <w:sz w:val="32"/>
          <w:szCs w:val="32"/>
        </w:rPr>
        <w:t>四</w:t>
      </w:r>
      <w:r>
        <w:rPr>
          <w:rFonts w:ascii="黑体" w:eastAsia="黑体" w:hAnsi="黑体" w:cs="Arial" w:hint="eastAsia"/>
          <w:color w:val="000000" w:themeColor="text1"/>
          <w:sz w:val="32"/>
          <w:szCs w:val="32"/>
        </w:rPr>
        <w:t>条</w:t>
      </w:r>
      <w:r w:rsidR="00994D2B">
        <w:rPr>
          <w:rFonts w:ascii="方正仿宋_GBK" w:eastAsia="方正仿宋_GBK" w:hAnsi="华文仿宋" w:cs="Arial" w:hint="eastAsia"/>
          <w:color w:val="000000" w:themeColor="text1"/>
          <w:sz w:val="32"/>
          <w:szCs w:val="32"/>
        </w:rPr>
        <w:t xml:space="preserve">　</w:t>
      </w:r>
      <w:r>
        <w:rPr>
          <w:rFonts w:ascii="方正仿宋_GBK" w:eastAsia="方正仿宋_GBK" w:hAnsi="华文仿宋" w:cs="Arial" w:hint="eastAsia"/>
          <w:color w:val="000000" w:themeColor="text1"/>
          <w:sz w:val="32"/>
          <w:szCs w:val="32"/>
        </w:rPr>
        <w:t>消费者购买预付卡时，享有下列权利：</w:t>
      </w:r>
    </w:p>
    <w:p w:rsidR="00933C18" w:rsidRDefault="00933C18" w:rsidP="00933C18">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（一）询问和了解预付卡的真实情况，要求经营者依法和按照合同约定提供商品或者服务；</w:t>
      </w:r>
    </w:p>
    <w:p w:rsidR="00933C18" w:rsidRDefault="00933C18" w:rsidP="00933C18">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（二）通过管理服务平台查询经营者基本信息、预付卡余额、交易记录等信息；</w:t>
      </w:r>
    </w:p>
    <w:p w:rsidR="00933C18" w:rsidRDefault="00933C18" w:rsidP="00933C18">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（三）法律、法规、规章规定的其他权利。</w:t>
      </w:r>
    </w:p>
    <w:p w:rsidR="008839F1" w:rsidRDefault="009F690E" w:rsidP="008839F1">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lastRenderedPageBreak/>
        <w:t>第二十</w:t>
      </w:r>
      <w:r w:rsidR="00FC39ED">
        <w:rPr>
          <w:rFonts w:ascii="黑体" w:eastAsia="黑体" w:hAnsi="黑体" w:cs="Arial" w:hint="eastAsia"/>
          <w:color w:val="000000" w:themeColor="text1"/>
          <w:sz w:val="32"/>
          <w:szCs w:val="32"/>
        </w:rPr>
        <w:t>五</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w:t>
      </w:r>
      <w:r w:rsidR="008839F1" w:rsidRPr="008839F1">
        <w:rPr>
          <w:rFonts w:ascii="方正仿宋_GBK" w:eastAsia="方正仿宋_GBK" w:hAnsi="华文仿宋" w:hint="eastAsia"/>
          <w:color w:val="000000" w:themeColor="text1"/>
          <w:sz w:val="32"/>
          <w:szCs w:val="32"/>
        </w:rPr>
        <w:t>经营者有下列可能影响预付卡兑付情形之一的</w:t>
      </w:r>
      <w:r w:rsidR="008839F1">
        <w:rPr>
          <w:rFonts w:ascii="方正仿宋_GBK" w:eastAsia="方正仿宋_GBK" w:hAnsi="华文仿宋" w:hint="eastAsia"/>
          <w:color w:val="000000" w:themeColor="text1"/>
          <w:sz w:val="32"/>
          <w:szCs w:val="32"/>
        </w:rPr>
        <w:t>，</w:t>
      </w:r>
      <w:r w:rsidR="008839F1" w:rsidRPr="00B775FA">
        <w:rPr>
          <w:rFonts w:ascii="方正仿宋_GBK" w:eastAsia="方正仿宋_GBK" w:hAnsi="华文仿宋" w:hint="eastAsia"/>
          <w:color w:val="000000" w:themeColor="text1"/>
          <w:sz w:val="32"/>
          <w:szCs w:val="32"/>
        </w:rPr>
        <w:t>应当提前30日在经营场所、网站首页等发布公告，同时以电话、短信、电子邮件等形式告知</w:t>
      </w:r>
      <w:r w:rsidR="008839F1" w:rsidRPr="008839F1">
        <w:rPr>
          <w:rFonts w:ascii="方正仿宋_GBK" w:eastAsia="方正仿宋_GBK" w:hAnsi="华文仿宋" w:hint="eastAsia"/>
          <w:color w:val="000000" w:themeColor="text1"/>
          <w:sz w:val="32"/>
          <w:szCs w:val="32"/>
        </w:rPr>
        <w:t>已交预付款的</w:t>
      </w:r>
      <w:r w:rsidR="008839F1" w:rsidRPr="00B775FA">
        <w:rPr>
          <w:rFonts w:ascii="方正仿宋_GBK" w:eastAsia="方正仿宋_GBK" w:hAnsi="华文仿宋" w:hint="eastAsia"/>
          <w:color w:val="000000" w:themeColor="text1"/>
          <w:sz w:val="32"/>
          <w:szCs w:val="32"/>
        </w:rPr>
        <w:t>消费者：</w:t>
      </w:r>
    </w:p>
    <w:p w:rsidR="00C17366" w:rsidRDefault="008839F1">
      <w:pPr>
        <w:snapToGrid w:val="0"/>
        <w:spacing w:line="590" w:lineRule="exact"/>
        <w:ind w:firstLineChars="200" w:firstLine="640"/>
        <w:jc w:val="both"/>
        <w:rPr>
          <w:rFonts w:ascii="方正仿宋_GBK" w:eastAsia="方正仿宋_GBK" w:hAnsi="华文仿宋"/>
          <w:color w:val="000000" w:themeColor="text1"/>
          <w:sz w:val="32"/>
          <w:szCs w:val="32"/>
        </w:rPr>
      </w:pPr>
      <w:r w:rsidRPr="008839F1">
        <w:rPr>
          <w:rFonts w:ascii="方正仿宋_GBK" w:eastAsia="方正仿宋_GBK" w:hAnsi="华文仿宋" w:hint="eastAsia"/>
          <w:color w:val="000000" w:themeColor="text1"/>
          <w:sz w:val="32"/>
          <w:szCs w:val="32"/>
        </w:rPr>
        <w:t>（一）终止预付卡业务；</w:t>
      </w:r>
    </w:p>
    <w:p w:rsidR="008839F1" w:rsidRPr="008839F1" w:rsidRDefault="008839F1" w:rsidP="008839F1">
      <w:pPr>
        <w:snapToGrid w:val="0"/>
        <w:spacing w:line="590" w:lineRule="exact"/>
        <w:ind w:firstLineChars="200" w:firstLine="640"/>
        <w:jc w:val="both"/>
        <w:rPr>
          <w:rFonts w:ascii="方正仿宋_GBK" w:eastAsia="方正仿宋_GBK" w:hAnsi="华文仿宋"/>
          <w:color w:val="000000" w:themeColor="text1"/>
          <w:sz w:val="32"/>
          <w:szCs w:val="32"/>
        </w:rPr>
      </w:pPr>
      <w:r w:rsidRPr="008839F1">
        <w:rPr>
          <w:rFonts w:ascii="方正仿宋_GBK" w:eastAsia="方正仿宋_GBK" w:hAnsi="华文仿宋" w:hint="eastAsia"/>
          <w:color w:val="000000" w:themeColor="text1"/>
          <w:sz w:val="32"/>
          <w:szCs w:val="32"/>
        </w:rPr>
        <w:t>（二）停业、歇业或者经营场所变更；</w:t>
      </w:r>
    </w:p>
    <w:p w:rsidR="008839F1" w:rsidRPr="008839F1" w:rsidRDefault="008839F1" w:rsidP="008839F1">
      <w:pPr>
        <w:snapToGrid w:val="0"/>
        <w:spacing w:line="590" w:lineRule="exact"/>
        <w:ind w:firstLineChars="200" w:firstLine="640"/>
        <w:jc w:val="both"/>
        <w:rPr>
          <w:rFonts w:ascii="方正仿宋_GBK" w:eastAsia="方正仿宋_GBK" w:hAnsi="华文仿宋"/>
          <w:color w:val="000000" w:themeColor="text1"/>
          <w:sz w:val="32"/>
          <w:szCs w:val="32"/>
        </w:rPr>
      </w:pPr>
      <w:r w:rsidRPr="008839F1">
        <w:rPr>
          <w:rFonts w:ascii="方正仿宋_GBK" w:eastAsia="方正仿宋_GBK" w:hAnsi="华文仿宋" w:hint="eastAsia"/>
          <w:color w:val="000000" w:themeColor="text1"/>
          <w:sz w:val="32"/>
          <w:szCs w:val="32"/>
        </w:rPr>
        <w:t>（三）变更经营主体或者投资人；</w:t>
      </w:r>
    </w:p>
    <w:p w:rsidR="008839F1" w:rsidRPr="008839F1" w:rsidRDefault="008839F1" w:rsidP="008839F1">
      <w:pPr>
        <w:snapToGrid w:val="0"/>
        <w:spacing w:line="590" w:lineRule="exact"/>
        <w:ind w:firstLineChars="200" w:firstLine="640"/>
        <w:jc w:val="both"/>
        <w:rPr>
          <w:rFonts w:ascii="方正仿宋_GBK" w:eastAsia="方正仿宋_GBK" w:hAnsi="华文仿宋"/>
          <w:color w:val="000000" w:themeColor="text1"/>
          <w:sz w:val="32"/>
          <w:szCs w:val="32"/>
        </w:rPr>
      </w:pPr>
      <w:r w:rsidRPr="008839F1">
        <w:rPr>
          <w:rFonts w:ascii="方正仿宋_GBK" w:eastAsia="方正仿宋_GBK" w:hAnsi="华文仿宋" w:hint="eastAsia"/>
          <w:color w:val="000000" w:themeColor="text1"/>
          <w:sz w:val="32"/>
          <w:szCs w:val="32"/>
        </w:rPr>
        <w:t>（四）提供的商品或者服务发生重大变更；</w:t>
      </w:r>
    </w:p>
    <w:p w:rsidR="008839F1" w:rsidRPr="008839F1" w:rsidRDefault="008839F1" w:rsidP="008839F1">
      <w:pPr>
        <w:snapToGrid w:val="0"/>
        <w:spacing w:line="590" w:lineRule="exact"/>
        <w:ind w:firstLineChars="200" w:firstLine="640"/>
        <w:jc w:val="both"/>
        <w:rPr>
          <w:rFonts w:ascii="方正仿宋_GBK" w:eastAsia="方正仿宋_GBK" w:hAnsi="华文仿宋"/>
          <w:color w:val="000000" w:themeColor="text1"/>
          <w:sz w:val="32"/>
          <w:szCs w:val="32"/>
        </w:rPr>
      </w:pPr>
      <w:r w:rsidRPr="008839F1">
        <w:rPr>
          <w:rFonts w:ascii="方正仿宋_GBK" w:eastAsia="方正仿宋_GBK" w:hAnsi="华文仿宋" w:hint="eastAsia"/>
          <w:color w:val="000000" w:themeColor="text1"/>
          <w:sz w:val="32"/>
          <w:szCs w:val="32"/>
        </w:rPr>
        <w:t>（五）法律、法规、规章规定的其他情形。</w:t>
      </w:r>
    </w:p>
    <w:p w:rsidR="00B95713" w:rsidRDefault="008839F1" w:rsidP="008839F1">
      <w:pPr>
        <w:snapToGrid w:val="0"/>
        <w:spacing w:line="590" w:lineRule="exact"/>
        <w:ind w:firstLineChars="200" w:firstLine="640"/>
        <w:jc w:val="both"/>
        <w:rPr>
          <w:rFonts w:ascii="方正仿宋_GBK" w:eastAsia="方正仿宋_GBK" w:hAnsi="华文仿宋"/>
          <w:color w:val="000000" w:themeColor="text1"/>
          <w:sz w:val="32"/>
          <w:szCs w:val="32"/>
        </w:rPr>
      </w:pPr>
      <w:r>
        <w:rPr>
          <w:rFonts w:ascii="方正仿宋_GBK" w:eastAsia="方正仿宋_GBK" w:hAnsi="华文仿宋" w:hint="eastAsia"/>
          <w:color w:val="000000" w:themeColor="text1"/>
          <w:sz w:val="32"/>
          <w:szCs w:val="32"/>
        </w:rPr>
        <w:t>经营者</w:t>
      </w:r>
      <w:r w:rsidRPr="008839F1">
        <w:rPr>
          <w:rFonts w:ascii="方正仿宋_GBK" w:eastAsia="方正仿宋_GBK" w:hAnsi="华文仿宋" w:hint="eastAsia"/>
          <w:color w:val="000000" w:themeColor="text1"/>
          <w:sz w:val="32"/>
          <w:szCs w:val="32"/>
        </w:rPr>
        <w:t>因</w:t>
      </w:r>
      <w:r w:rsidR="00CA5F15">
        <w:rPr>
          <w:rFonts w:ascii="方正仿宋_GBK" w:eastAsia="方正仿宋_GBK" w:hAnsi="华文仿宋" w:hint="eastAsia"/>
          <w:color w:val="000000" w:themeColor="text1"/>
          <w:sz w:val="32"/>
          <w:szCs w:val="32"/>
        </w:rPr>
        <w:t>不可抗力</w:t>
      </w:r>
      <w:r>
        <w:rPr>
          <w:rFonts w:ascii="方正仿宋_GBK" w:eastAsia="方正仿宋_GBK" w:hAnsi="华文仿宋" w:hint="eastAsia"/>
          <w:color w:val="000000" w:themeColor="text1"/>
          <w:sz w:val="32"/>
          <w:szCs w:val="32"/>
        </w:rPr>
        <w:t>未能在规定时间内告知消费者的，应当在障碍消除后</w:t>
      </w:r>
      <w:r w:rsidR="00CA5F15">
        <w:rPr>
          <w:rFonts w:ascii="方正仿宋_GBK" w:eastAsia="方正仿宋_GBK" w:hAnsi="华文仿宋" w:hint="eastAsia"/>
          <w:color w:val="000000" w:themeColor="text1"/>
          <w:sz w:val="32"/>
          <w:szCs w:val="32"/>
        </w:rPr>
        <w:t>及时告知</w:t>
      </w:r>
      <w:r w:rsidRPr="008839F1">
        <w:rPr>
          <w:rFonts w:ascii="方正仿宋_GBK" w:eastAsia="方正仿宋_GBK" w:hAnsi="华文仿宋" w:hint="eastAsia"/>
          <w:color w:val="000000" w:themeColor="text1"/>
          <w:sz w:val="32"/>
          <w:szCs w:val="32"/>
        </w:rPr>
        <w:t>。</w:t>
      </w:r>
    </w:p>
    <w:p w:rsidR="008839F1" w:rsidRPr="008839F1" w:rsidRDefault="008839F1" w:rsidP="008839F1">
      <w:pPr>
        <w:snapToGrid w:val="0"/>
        <w:spacing w:line="590" w:lineRule="exact"/>
        <w:ind w:firstLineChars="200" w:firstLine="640"/>
        <w:jc w:val="both"/>
        <w:rPr>
          <w:rFonts w:ascii="方正仿宋_GBK" w:eastAsia="方正仿宋_GBK" w:hAnsi="华文仿宋"/>
          <w:color w:val="000000" w:themeColor="text1"/>
          <w:sz w:val="32"/>
          <w:szCs w:val="32"/>
        </w:rPr>
      </w:pPr>
      <w:r w:rsidRPr="008839F1">
        <w:rPr>
          <w:rFonts w:ascii="方正仿宋_GBK" w:eastAsia="方正仿宋_GBK" w:hAnsi="华文仿宋" w:hint="eastAsia"/>
          <w:color w:val="000000" w:themeColor="text1"/>
          <w:sz w:val="32"/>
          <w:szCs w:val="32"/>
        </w:rPr>
        <w:t>经营者</w:t>
      </w:r>
      <w:r w:rsidR="00B95713" w:rsidRPr="008839F1">
        <w:rPr>
          <w:rFonts w:ascii="方正仿宋_GBK" w:eastAsia="方正仿宋_GBK" w:hAnsi="华文仿宋" w:hint="eastAsia"/>
          <w:color w:val="000000" w:themeColor="text1"/>
          <w:sz w:val="32"/>
          <w:szCs w:val="32"/>
        </w:rPr>
        <w:t>未</w:t>
      </w:r>
      <w:r w:rsidR="00B95713">
        <w:rPr>
          <w:rFonts w:ascii="方正仿宋_GBK" w:eastAsia="方正仿宋_GBK" w:hAnsi="华文仿宋" w:hint="eastAsia"/>
          <w:color w:val="000000" w:themeColor="text1"/>
          <w:sz w:val="32"/>
          <w:szCs w:val="32"/>
        </w:rPr>
        <w:t>依法</w:t>
      </w:r>
      <w:r w:rsidRPr="008839F1">
        <w:rPr>
          <w:rFonts w:ascii="方正仿宋_GBK" w:eastAsia="方正仿宋_GBK" w:hAnsi="华文仿宋" w:hint="eastAsia"/>
          <w:color w:val="000000" w:themeColor="text1"/>
          <w:sz w:val="32"/>
          <w:szCs w:val="32"/>
        </w:rPr>
        <w:t>提前告知已交预付款的消费者并作出妥善安排，不提供或者不按照约定提供商品、服务又无法联络的，视为欺诈行为。</w:t>
      </w:r>
    </w:p>
    <w:p w:rsidR="00976DE6" w:rsidRPr="00CD166C" w:rsidRDefault="008839F1" w:rsidP="008839F1">
      <w:pPr>
        <w:snapToGrid w:val="0"/>
        <w:spacing w:line="590" w:lineRule="exact"/>
        <w:ind w:firstLineChars="200" w:firstLine="640"/>
        <w:jc w:val="both"/>
        <w:rPr>
          <w:rFonts w:ascii="方正仿宋_GBK" w:eastAsia="方正仿宋_GBK" w:hAnsi="华文仿宋" w:cs="Arial"/>
          <w:color w:val="000000" w:themeColor="text1"/>
          <w:sz w:val="32"/>
          <w:szCs w:val="32"/>
        </w:rPr>
      </w:pPr>
      <w:r w:rsidRPr="008839F1">
        <w:rPr>
          <w:rFonts w:ascii="方正仿宋_GBK" w:eastAsia="方正仿宋_GBK" w:hAnsi="华文仿宋" w:hint="eastAsia"/>
          <w:color w:val="000000" w:themeColor="text1"/>
          <w:sz w:val="32"/>
          <w:szCs w:val="32"/>
        </w:rPr>
        <w:t>本条第一款情形发生后，消费者有权根据法律、法规、规章的规定以及约定，要求经营者以及与其同一品牌特许经营体系内的经营者继续履行商品、服务承诺，或者退回预付卡余额。</w:t>
      </w:r>
    </w:p>
    <w:p w:rsidR="00000000" w:rsidRDefault="009F690E">
      <w:pPr>
        <w:snapToGrid w:val="0"/>
        <w:spacing w:line="590" w:lineRule="exact"/>
        <w:ind w:firstLineChars="200" w:firstLine="640"/>
        <w:jc w:val="both"/>
        <w:rPr>
          <w:rFonts w:ascii="方正仿宋_GBK" w:eastAsia="方正仿宋_GBK" w:hAnsi="华文仿宋"/>
          <w:color w:val="000000" w:themeColor="text1"/>
          <w:sz w:val="32"/>
          <w:szCs w:val="32"/>
        </w:rPr>
      </w:pPr>
      <w:r>
        <w:rPr>
          <w:rFonts w:ascii="方正黑体_GBK" w:eastAsia="方正黑体_GBK" w:hAnsi="华文仿宋" w:hint="eastAsia"/>
          <w:color w:val="000000" w:themeColor="text1"/>
          <w:sz w:val="32"/>
          <w:szCs w:val="32"/>
        </w:rPr>
        <w:t>第二十</w:t>
      </w:r>
      <w:r w:rsidR="00FC39ED">
        <w:rPr>
          <w:rFonts w:ascii="方正黑体_GBK" w:eastAsia="方正黑体_GBK" w:hAnsi="华文仿宋" w:hint="eastAsia"/>
          <w:color w:val="000000" w:themeColor="text1"/>
          <w:sz w:val="32"/>
          <w:szCs w:val="32"/>
        </w:rPr>
        <w:t>六</w:t>
      </w:r>
      <w:r>
        <w:rPr>
          <w:rFonts w:ascii="方正黑体_GBK" w:eastAsia="方正黑体_GBK" w:hAnsi="华文仿宋" w:hint="eastAsia"/>
          <w:color w:val="000000" w:themeColor="text1"/>
          <w:sz w:val="32"/>
          <w:szCs w:val="32"/>
        </w:rPr>
        <w:t>条</w:t>
      </w:r>
      <w:r w:rsidR="00994D2B">
        <w:rPr>
          <w:rFonts w:ascii="方正仿宋_GBK" w:eastAsia="方正仿宋_GBK" w:hAnsi="华文仿宋" w:hint="eastAsia"/>
          <w:color w:val="000000" w:themeColor="text1"/>
          <w:sz w:val="32"/>
          <w:szCs w:val="32"/>
        </w:rPr>
        <w:t xml:space="preserve">　</w:t>
      </w:r>
      <w:r>
        <w:rPr>
          <w:rFonts w:ascii="方正仿宋_GBK" w:eastAsia="方正仿宋_GBK" w:hAnsi="华文仿宋" w:hint="eastAsia"/>
          <w:color w:val="000000" w:themeColor="text1"/>
          <w:sz w:val="32"/>
          <w:szCs w:val="32"/>
        </w:rPr>
        <w:t>经营者以发行预付卡方式提供商品或者服务的，消费者有权自付款之日起</w:t>
      </w:r>
      <w:r>
        <w:rPr>
          <w:rFonts w:ascii="方正仿宋_GBK" w:eastAsia="方正仿宋_GBK" w:hAnsi="华文仿宋"/>
          <w:color w:val="000000" w:themeColor="text1"/>
          <w:sz w:val="32"/>
          <w:szCs w:val="32"/>
        </w:rPr>
        <w:t>15</w:t>
      </w:r>
      <w:r>
        <w:rPr>
          <w:rFonts w:ascii="方正仿宋_GBK" w:eastAsia="方正仿宋_GBK" w:hAnsi="华文仿宋" w:hint="eastAsia"/>
          <w:color w:val="000000" w:themeColor="text1"/>
          <w:sz w:val="32"/>
          <w:szCs w:val="32"/>
        </w:rPr>
        <w:t>日内无理由要求退款，经营者可以扣除其为提供商品或者服务已经产生的合理费用。</w:t>
      </w:r>
    </w:p>
    <w:p w:rsidR="00A748AE" w:rsidRPr="00CD166C" w:rsidRDefault="009F690E" w:rsidP="00A748AE">
      <w:pPr>
        <w:snapToGrid w:val="0"/>
        <w:spacing w:line="590" w:lineRule="exact"/>
        <w:ind w:firstLineChars="200" w:firstLine="640"/>
        <w:jc w:val="both"/>
        <w:rPr>
          <w:rFonts w:ascii="方正仿宋_GBK" w:eastAsia="方正仿宋_GBK" w:hAnsi="华文仿宋"/>
          <w:color w:val="000000" w:themeColor="text1"/>
          <w:sz w:val="32"/>
          <w:szCs w:val="32"/>
        </w:rPr>
      </w:pPr>
      <w:r>
        <w:rPr>
          <w:rFonts w:ascii="方正仿宋_GBK" w:eastAsia="方正仿宋_GBK" w:hAnsi="华文仿宋" w:hint="eastAsia"/>
          <w:color w:val="000000" w:themeColor="text1"/>
          <w:sz w:val="32"/>
          <w:szCs w:val="32"/>
        </w:rPr>
        <w:t>经营者未按照约定提供商品或者服务的，应当按照消费者的要求履行约定或者退回预付款，未消费的，应当全额退款并承担</w:t>
      </w:r>
      <w:r>
        <w:rPr>
          <w:rFonts w:ascii="方正仿宋_GBK" w:eastAsia="方正仿宋_GBK" w:hAnsi="华文仿宋" w:hint="eastAsia"/>
          <w:color w:val="000000" w:themeColor="text1"/>
          <w:sz w:val="32"/>
          <w:szCs w:val="32"/>
        </w:rPr>
        <w:lastRenderedPageBreak/>
        <w:t>预付款的利息；已经消费的，应当按照原约定的优惠方案扣除已经消费的金额，予以退款并承担退款部分的利息。</w:t>
      </w:r>
    </w:p>
    <w:p w:rsidR="00F96ED1" w:rsidRPr="00CD166C" w:rsidRDefault="00DD6B84" w:rsidP="00A748AE">
      <w:pPr>
        <w:snapToGrid w:val="0"/>
        <w:spacing w:line="590" w:lineRule="exact"/>
        <w:ind w:firstLineChars="200" w:firstLine="640"/>
        <w:jc w:val="both"/>
        <w:rPr>
          <w:rFonts w:ascii="方正仿宋_GBK" w:eastAsia="方正仿宋_GBK" w:hAnsi="华文仿宋" w:cs="Arial"/>
          <w:color w:val="000000" w:themeColor="text1"/>
          <w:sz w:val="32"/>
          <w:szCs w:val="32"/>
        </w:rPr>
      </w:pPr>
      <w:r w:rsidRPr="00DD6B84">
        <w:rPr>
          <w:rFonts w:ascii="方正仿宋_GBK" w:eastAsia="方正仿宋_GBK" w:hAnsi="华文仿宋" w:hint="eastAsia"/>
          <w:color w:val="000000" w:themeColor="text1"/>
          <w:sz w:val="32"/>
          <w:szCs w:val="32"/>
        </w:rPr>
        <w:t>经营者应当告知而未告知消费者或者未经消费</w:t>
      </w:r>
      <w:r w:rsidR="009F690E">
        <w:rPr>
          <w:rFonts w:ascii="方正仿宋_GBK" w:eastAsia="方正仿宋_GBK" w:hAnsi="华文仿宋" w:cs="Arial" w:hint="eastAsia"/>
          <w:color w:val="000000" w:themeColor="text1"/>
          <w:sz w:val="32"/>
          <w:szCs w:val="32"/>
        </w:rPr>
        <w:t>者同意擅自增加收费项目时，消费者有权根据法律、法规和规章的规定向经营者提出办理预付卡转让或者退款等手续。自消费者提出要求之日起</w:t>
      </w:r>
      <w:r w:rsidR="00C62143">
        <w:rPr>
          <w:rFonts w:ascii="方正仿宋_GBK" w:eastAsia="方正仿宋_GBK" w:hAnsi="华文仿宋" w:cs="Arial" w:hint="eastAsia"/>
          <w:color w:val="000000" w:themeColor="text1"/>
          <w:sz w:val="32"/>
          <w:szCs w:val="32"/>
        </w:rPr>
        <w:t>7</w:t>
      </w:r>
      <w:r w:rsidR="007D0C68">
        <w:rPr>
          <w:rFonts w:ascii="方正仿宋_GBK" w:eastAsia="方正仿宋_GBK" w:hAnsi="华文仿宋" w:cs="Arial" w:hint="eastAsia"/>
          <w:color w:val="000000" w:themeColor="text1"/>
          <w:sz w:val="32"/>
          <w:szCs w:val="32"/>
        </w:rPr>
        <w:t>个工作</w:t>
      </w:r>
      <w:r w:rsidR="009F690E">
        <w:rPr>
          <w:rFonts w:ascii="方正仿宋_GBK" w:eastAsia="方正仿宋_GBK" w:hAnsi="华文仿宋" w:cs="Arial"/>
          <w:color w:val="000000" w:themeColor="text1"/>
          <w:sz w:val="32"/>
          <w:szCs w:val="32"/>
        </w:rPr>
        <w:t>日内，经营者应当为消费者办理相关手续。</w:t>
      </w:r>
    </w:p>
    <w:p w:rsidR="00A748AE" w:rsidRPr="00CD166C" w:rsidRDefault="009F690E" w:rsidP="00A748A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经营者应当建立方便、快捷的预付卡消</w:t>
      </w:r>
      <w:r>
        <w:rPr>
          <w:rFonts w:ascii="方正仿宋_GBK" w:eastAsia="方正仿宋_GBK" w:hAnsi="华文仿宋" w:hint="eastAsia"/>
          <w:color w:val="000000" w:themeColor="text1"/>
          <w:sz w:val="32"/>
          <w:szCs w:val="32"/>
        </w:rPr>
        <w:t>费争议处理机制</w:t>
      </w:r>
      <w:r>
        <w:rPr>
          <w:rFonts w:ascii="方正仿宋_GBK" w:eastAsia="方正仿宋_GBK" w:hAnsi="华文仿宋" w:cs="Arial" w:hint="eastAsia"/>
          <w:color w:val="000000" w:themeColor="text1"/>
          <w:sz w:val="32"/>
          <w:szCs w:val="32"/>
        </w:rPr>
        <w:t>，与消费者采用协商等方式，解决预付卡消费争议。</w:t>
      </w:r>
    </w:p>
    <w:p w:rsidR="00000000" w:rsidRDefault="003839EF">
      <w:pPr>
        <w:snapToGrid w:val="0"/>
        <w:spacing w:line="590" w:lineRule="exact"/>
        <w:ind w:firstLineChars="200" w:firstLine="640"/>
        <w:jc w:val="both"/>
        <w:rPr>
          <w:rFonts w:ascii="方正仿宋_GBK" w:eastAsia="方正仿宋_GBK" w:hAnsi="华文仿宋" w:cs="Arial"/>
          <w:color w:val="000000" w:themeColor="text1"/>
          <w:sz w:val="32"/>
          <w:szCs w:val="32"/>
        </w:rPr>
      </w:pPr>
    </w:p>
    <w:p w:rsidR="002E7BC3" w:rsidRPr="002E7BC3" w:rsidRDefault="002E7BC3" w:rsidP="002E7BC3">
      <w:pPr>
        <w:snapToGrid w:val="0"/>
        <w:spacing w:line="590" w:lineRule="exact"/>
        <w:jc w:val="center"/>
        <w:rPr>
          <w:rFonts w:ascii="黑体" w:eastAsia="黑体" w:hAnsi="黑体" w:cs="Arial"/>
          <w:color w:val="000000" w:themeColor="text1"/>
          <w:sz w:val="32"/>
          <w:szCs w:val="32"/>
        </w:rPr>
      </w:pPr>
      <w:r w:rsidRPr="002E7BC3">
        <w:rPr>
          <w:rFonts w:ascii="黑体" w:eastAsia="黑体" w:hAnsi="黑体" w:cs="Arial" w:hint="eastAsia"/>
          <w:color w:val="000000" w:themeColor="text1"/>
          <w:sz w:val="32"/>
          <w:szCs w:val="32"/>
        </w:rPr>
        <w:t>第</w:t>
      </w:r>
      <w:r>
        <w:rPr>
          <w:rFonts w:ascii="黑体" w:eastAsia="黑体" w:hAnsi="黑体" w:cs="Arial" w:hint="eastAsia"/>
          <w:color w:val="000000" w:themeColor="text1"/>
          <w:sz w:val="32"/>
          <w:szCs w:val="32"/>
        </w:rPr>
        <w:t>四</w:t>
      </w:r>
      <w:r w:rsidRPr="002E7BC3">
        <w:rPr>
          <w:rFonts w:ascii="黑体" w:eastAsia="黑体" w:hAnsi="黑体" w:cs="Arial" w:hint="eastAsia"/>
          <w:color w:val="000000" w:themeColor="text1"/>
          <w:sz w:val="32"/>
          <w:szCs w:val="32"/>
        </w:rPr>
        <w:t xml:space="preserve">章　</w:t>
      </w:r>
      <w:r>
        <w:rPr>
          <w:rFonts w:ascii="黑体" w:eastAsia="黑体" w:hAnsi="黑体" w:cs="Arial" w:hint="eastAsia"/>
          <w:color w:val="000000" w:themeColor="text1"/>
          <w:sz w:val="32"/>
          <w:szCs w:val="32"/>
        </w:rPr>
        <w:t>监督管理</w:t>
      </w:r>
    </w:p>
    <w:p w:rsidR="00000000" w:rsidRDefault="003839EF">
      <w:pPr>
        <w:snapToGrid w:val="0"/>
        <w:spacing w:line="590" w:lineRule="exact"/>
        <w:ind w:firstLineChars="200" w:firstLine="640"/>
        <w:jc w:val="both"/>
        <w:rPr>
          <w:rFonts w:ascii="方正仿宋_GBK" w:eastAsia="方正仿宋_GBK" w:hAnsi="华文仿宋" w:cs="Arial"/>
          <w:color w:val="000000" w:themeColor="text1"/>
          <w:sz w:val="32"/>
          <w:szCs w:val="32"/>
        </w:rPr>
      </w:pPr>
    </w:p>
    <w:p w:rsidR="00834F87" w:rsidRPr="00CD166C" w:rsidRDefault="00A761EC" w:rsidP="00834F87">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第二十</w:t>
      </w:r>
      <w:r w:rsidR="00FC39ED">
        <w:rPr>
          <w:rFonts w:ascii="黑体" w:eastAsia="黑体" w:hAnsi="黑体" w:cs="Arial" w:hint="eastAsia"/>
          <w:color w:val="000000" w:themeColor="text1"/>
          <w:sz w:val="32"/>
          <w:szCs w:val="32"/>
        </w:rPr>
        <w:t>七</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w:t>
      </w:r>
      <w:r w:rsidR="00834F87">
        <w:rPr>
          <w:rFonts w:ascii="方正仿宋_GBK" w:eastAsia="方正仿宋_GBK" w:hAnsi="华文仿宋" w:cs="Arial" w:hint="eastAsia"/>
          <w:color w:val="000000" w:themeColor="text1"/>
          <w:sz w:val="32"/>
          <w:szCs w:val="32"/>
        </w:rPr>
        <w:t>行业组织应当制定行业规则，开展行业培训，指导、督促会员单位依法诚信经营；推进行业信用体系建设，开展会员单位信用评价和风险预警；配合相关部门开展投诉举报处理等工作。</w:t>
      </w:r>
    </w:p>
    <w:p w:rsidR="00A761EC" w:rsidRPr="00CD166C" w:rsidRDefault="00834F87" w:rsidP="00834F87">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行业组织可以依据预付卡行业类别、经营规模、信用状况等情况对预付卡经营者进行评价。</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第二十</w:t>
      </w:r>
      <w:r w:rsidR="00FC39ED">
        <w:rPr>
          <w:rFonts w:ascii="黑体" w:eastAsia="黑体" w:hAnsi="黑体" w:cs="Arial" w:hint="eastAsia"/>
          <w:color w:val="000000" w:themeColor="text1"/>
          <w:sz w:val="32"/>
          <w:szCs w:val="32"/>
        </w:rPr>
        <w:t>八</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消费者权益保护委员会应当向消费者宣传有关法律、法规</w:t>
      </w:r>
      <w:r w:rsidR="005B2FE8">
        <w:rPr>
          <w:rFonts w:ascii="方正仿宋_GBK" w:eastAsia="方正仿宋_GBK" w:hAnsi="华文仿宋" w:cs="Arial" w:hint="eastAsia"/>
          <w:color w:val="000000" w:themeColor="text1"/>
          <w:sz w:val="32"/>
          <w:szCs w:val="32"/>
        </w:rPr>
        <w:t>、规章</w:t>
      </w:r>
      <w:r>
        <w:rPr>
          <w:rFonts w:ascii="方正仿宋_GBK" w:eastAsia="方正仿宋_GBK" w:hAnsi="华文仿宋" w:cs="Arial" w:hint="eastAsia"/>
          <w:color w:val="000000" w:themeColor="text1"/>
          <w:sz w:val="32"/>
          <w:szCs w:val="32"/>
        </w:rPr>
        <w:t>；提供消费信息和咨询服务，引导消费者树立科学理性的消费观念；及时处理预付卡消费者的投诉，适时发布预付卡消费警示、消费维权情况，引导经营者规范经营。</w:t>
      </w:r>
    </w:p>
    <w:p w:rsidR="00E33958" w:rsidRPr="00CD166C" w:rsidRDefault="009F690E" w:rsidP="00E33958">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lastRenderedPageBreak/>
        <w:t>对损害消费者合法权益的行为，消费者权益保护委员会支持消费者向人民法院提起诉讼，或者依法提起公益诉讼。</w:t>
      </w:r>
    </w:p>
    <w:p w:rsidR="00B00E8D" w:rsidRPr="00CD166C" w:rsidRDefault="00B00E8D" w:rsidP="00B00E8D">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第二十</w:t>
      </w:r>
      <w:r w:rsidR="00FC39ED">
        <w:rPr>
          <w:rFonts w:ascii="黑体" w:eastAsia="黑体" w:hAnsi="黑体" w:cs="Arial" w:hint="eastAsia"/>
          <w:color w:val="000000" w:themeColor="text1"/>
          <w:sz w:val="32"/>
          <w:szCs w:val="32"/>
        </w:rPr>
        <w:t>九</w:t>
      </w:r>
      <w:r>
        <w:rPr>
          <w:rFonts w:ascii="黑体" w:eastAsia="黑体" w:hAnsi="黑体" w:cs="Arial" w:hint="eastAsia"/>
          <w:color w:val="000000" w:themeColor="text1"/>
          <w:sz w:val="32"/>
          <w:szCs w:val="32"/>
        </w:rPr>
        <w:t xml:space="preserve">条　</w:t>
      </w:r>
      <w:r>
        <w:rPr>
          <w:rFonts w:ascii="方正仿宋_GBK" w:eastAsia="方正仿宋_GBK" w:hAnsi="华文仿宋" w:cs="Arial" w:hint="eastAsia"/>
          <w:color w:val="000000" w:themeColor="text1"/>
          <w:sz w:val="32"/>
          <w:szCs w:val="32"/>
        </w:rPr>
        <w:t>任何单位和个人都有权对预付卡经营者及其投资人的违法行为进行投诉举报。行业主管部门等有关部门应当按照各自职责予以处理。</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w:t>
      </w:r>
      <w:r w:rsidR="00FC39ED">
        <w:rPr>
          <w:rFonts w:ascii="黑体" w:eastAsia="黑体" w:hAnsi="黑体" w:cs="Arial" w:hint="eastAsia"/>
          <w:color w:val="000000" w:themeColor="text1"/>
          <w:sz w:val="32"/>
          <w:szCs w:val="32"/>
        </w:rPr>
        <w:t>三十</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本省建立预付卡风险警示制度，</w:t>
      </w:r>
      <w:r w:rsidR="005650F7">
        <w:rPr>
          <w:rFonts w:ascii="方正仿宋_GBK" w:eastAsia="方正仿宋_GBK" w:hAnsi="华文仿宋" w:cs="Arial" w:hint="eastAsia"/>
          <w:color w:val="000000" w:themeColor="text1"/>
          <w:sz w:val="32"/>
          <w:szCs w:val="32"/>
        </w:rPr>
        <w:t>行政主管部门</w:t>
      </w:r>
      <w:r>
        <w:rPr>
          <w:rFonts w:ascii="方正仿宋_GBK" w:eastAsia="方正仿宋_GBK" w:hAnsi="华文仿宋" w:cs="Arial" w:hint="eastAsia"/>
          <w:color w:val="000000" w:themeColor="text1"/>
          <w:sz w:val="32"/>
          <w:szCs w:val="32"/>
        </w:rPr>
        <w:t>对以下经营者实施风险警示：</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（一）</w:t>
      </w:r>
      <w:r w:rsidR="00A761EC">
        <w:rPr>
          <w:rFonts w:ascii="方正仿宋_GBK" w:eastAsia="方正仿宋_GBK" w:hAnsi="华文仿宋" w:cs="Arial" w:hint="eastAsia"/>
          <w:color w:val="000000" w:themeColor="text1"/>
          <w:sz w:val="32"/>
          <w:szCs w:val="32"/>
        </w:rPr>
        <w:t>无依法</w:t>
      </w:r>
      <w:r>
        <w:rPr>
          <w:rFonts w:ascii="方正仿宋_GBK" w:eastAsia="方正仿宋_GBK" w:hAnsi="华文仿宋" w:cs="Arial" w:hint="eastAsia"/>
          <w:color w:val="000000" w:themeColor="text1"/>
          <w:sz w:val="32"/>
          <w:szCs w:val="32"/>
        </w:rPr>
        <w:t>备案</w:t>
      </w:r>
      <w:r w:rsidR="00A761EC">
        <w:rPr>
          <w:rFonts w:ascii="方正仿宋_GBK" w:eastAsia="方正仿宋_GBK" w:hAnsi="华文仿宋" w:cs="Arial" w:hint="eastAsia"/>
          <w:color w:val="000000" w:themeColor="text1"/>
          <w:sz w:val="32"/>
          <w:szCs w:val="32"/>
        </w:rPr>
        <w:t>信息</w:t>
      </w:r>
      <w:r>
        <w:rPr>
          <w:rFonts w:ascii="方正仿宋_GBK" w:eastAsia="方正仿宋_GBK" w:hAnsi="华文仿宋" w:cs="Arial" w:hint="eastAsia"/>
          <w:color w:val="000000" w:themeColor="text1"/>
          <w:sz w:val="32"/>
          <w:szCs w:val="32"/>
        </w:rPr>
        <w:t>的；</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（二）</w:t>
      </w:r>
      <w:r w:rsidR="00A761EC">
        <w:rPr>
          <w:rFonts w:ascii="方正仿宋_GBK" w:eastAsia="方正仿宋_GBK" w:hAnsi="华文仿宋" w:cs="Arial" w:hint="eastAsia"/>
          <w:color w:val="000000" w:themeColor="text1"/>
          <w:sz w:val="32"/>
          <w:szCs w:val="32"/>
        </w:rPr>
        <w:t>不符合</w:t>
      </w:r>
      <w:r>
        <w:rPr>
          <w:rFonts w:ascii="方正仿宋_GBK" w:eastAsia="方正仿宋_GBK" w:hAnsi="华文仿宋" w:cs="Arial" w:hint="eastAsia"/>
          <w:color w:val="000000" w:themeColor="text1"/>
          <w:sz w:val="32"/>
          <w:szCs w:val="32"/>
        </w:rPr>
        <w:t>资金保障要求</w:t>
      </w:r>
      <w:r w:rsidR="00A761EC">
        <w:rPr>
          <w:rFonts w:ascii="方正仿宋_GBK" w:eastAsia="方正仿宋_GBK" w:hAnsi="华文仿宋" w:cs="Arial" w:hint="eastAsia"/>
          <w:color w:val="000000" w:themeColor="text1"/>
          <w:sz w:val="32"/>
          <w:szCs w:val="32"/>
        </w:rPr>
        <w:t>或者距离期限届满不足１个月</w:t>
      </w:r>
      <w:r>
        <w:rPr>
          <w:rFonts w:ascii="方正仿宋_GBK" w:eastAsia="方正仿宋_GBK" w:hAnsi="华文仿宋" w:cs="Arial" w:hint="eastAsia"/>
          <w:color w:val="000000" w:themeColor="text1"/>
          <w:sz w:val="32"/>
          <w:szCs w:val="32"/>
        </w:rPr>
        <w:t>的；</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w:t>
      </w:r>
      <w:r w:rsidR="00A761EC">
        <w:rPr>
          <w:rFonts w:ascii="方正仿宋_GBK" w:eastAsia="方正仿宋_GBK" w:hAnsi="华文仿宋" w:cs="Arial" w:hint="eastAsia"/>
          <w:color w:val="000000" w:themeColor="text1"/>
          <w:sz w:val="32"/>
          <w:szCs w:val="32"/>
        </w:rPr>
        <w:t>三</w:t>
      </w:r>
      <w:r>
        <w:rPr>
          <w:rFonts w:ascii="方正仿宋_GBK" w:eastAsia="方正仿宋_GBK" w:hAnsi="华文仿宋" w:cs="Arial" w:hint="eastAsia"/>
          <w:color w:val="000000" w:themeColor="text1"/>
          <w:sz w:val="32"/>
          <w:szCs w:val="32"/>
        </w:rPr>
        <w:t>）停业、歇业或者经营场所变更等情形，不按照约定继续履行或者退回预付款余额的；</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w:t>
      </w:r>
      <w:r w:rsidR="00A761EC">
        <w:rPr>
          <w:rFonts w:ascii="方正仿宋_GBK" w:eastAsia="方正仿宋_GBK" w:hAnsi="华文仿宋" w:cs="Arial" w:hint="eastAsia"/>
          <w:color w:val="000000" w:themeColor="text1"/>
          <w:sz w:val="32"/>
          <w:szCs w:val="32"/>
        </w:rPr>
        <w:t>四</w:t>
      </w:r>
      <w:r>
        <w:rPr>
          <w:rFonts w:ascii="方正仿宋_GBK" w:eastAsia="方正仿宋_GBK" w:hAnsi="华文仿宋" w:cs="Arial" w:hint="eastAsia"/>
          <w:color w:val="000000" w:themeColor="text1"/>
          <w:sz w:val="32"/>
          <w:szCs w:val="32"/>
        </w:rPr>
        <w:t>）</w:t>
      </w:r>
      <w:r w:rsidR="00DC05DB">
        <w:rPr>
          <w:rFonts w:ascii="方正仿宋_GBK" w:eastAsia="方正仿宋_GBK" w:hAnsi="华文仿宋" w:cs="Arial" w:hint="eastAsia"/>
          <w:color w:val="000000" w:themeColor="text1"/>
          <w:sz w:val="32"/>
          <w:szCs w:val="32"/>
        </w:rPr>
        <w:t>有</w:t>
      </w:r>
      <w:r w:rsidR="00A761EC">
        <w:rPr>
          <w:rFonts w:ascii="方正仿宋_GBK" w:eastAsia="方正仿宋_GBK" w:hAnsi="华文仿宋" w:cs="Arial" w:hint="eastAsia"/>
          <w:color w:val="000000" w:themeColor="text1"/>
          <w:sz w:val="32"/>
          <w:szCs w:val="32"/>
        </w:rPr>
        <w:t>法律、法规、规章规定的</w:t>
      </w:r>
      <w:r>
        <w:rPr>
          <w:rFonts w:ascii="方正仿宋_GBK" w:eastAsia="方正仿宋_GBK" w:hAnsi="华文仿宋" w:cs="Arial" w:hint="eastAsia"/>
          <w:color w:val="000000" w:themeColor="text1"/>
          <w:sz w:val="32"/>
          <w:szCs w:val="32"/>
        </w:rPr>
        <w:t>其他</w:t>
      </w:r>
      <w:r w:rsidR="00A761EC">
        <w:rPr>
          <w:rFonts w:ascii="方正仿宋_GBK" w:eastAsia="方正仿宋_GBK" w:hAnsi="华文仿宋" w:cs="Arial" w:hint="eastAsia"/>
          <w:color w:val="000000" w:themeColor="text1"/>
          <w:sz w:val="32"/>
          <w:szCs w:val="32"/>
        </w:rPr>
        <w:t>风险</w:t>
      </w:r>
      <w:r>
        <w:rPr>
          <w:rFonts w:ascii="方正仿宋_GBK" w:eastAsia="方正仿宋_GBK" w:hAnsi="华文仿宋" w:cs="Arial" w:hint="eastAsia"/>
          <w:color w:val="000000" w:themeColor="text1"/>
          <w:sz w:val="32"/>
          <w:szCs w:val="32"/>
        </w:rPr>
        <w:t>情</w:t>
      </w:r>
      <w:r w:rsidR="00A761EC">
        <w:rPr>
          <w:rFonts w:ascii="方正仿宋_GBK" w:eastAsia="方正仿宋_GBK" w:hAnsi="华文仿宋" w:cs="Arial" w:hint="eastAsia"/>
          <w:color w:val="000000" w:themeColor="text1"/>
          <w:sz w:val="32"/>
          <w:szCs w:val="32"/>
        </w:rPr>
        <w:t>形</w:t>
      </w:r>
      <w:r w:rsidR="00DC05DB">
        <w:rPr>
          <w:rFonts w:ascii="方正仿宋_GBK" w:eastAsia="方正仿宋_GBK" w:hAnsi="华文仿宋" w:cs="Arial" w:hint="eastAsia"/>
          <w:color w:val="000000" w:themeColor="text1"/>
          <w:sz w:val="32"/>
          <w:szCs w:val="32"/>
        </w:rPr>
        <w:t>的</w:t>
      </w:r>
      <w:r>
        <w:rPr>
          <w:rFonts w:ascii="方正仿宋_GBK" w:eastAsia="方正仿宋_GBK" w:hAnsi="华文仿宋" w:cs="Arial" w:hint="eastAsia"/>
          <w:color w:val="000000" w:themeColor="text1"/>
          <w:sz w:val="32"/>
          <w:szCs w:val="32"/>
        </w:rPr>
        <w:t>。</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shd w:val="pct15" w:color="auto" w:fill="FFFFFF"/>
        </w:rPr>
      </w:pPr>
      <w:r>
        <w:rPr>
          <w:rFonts w:ascii="方正仿宋_GBK" w:eastAsia="方正仿宋_GBK" w:hAnsi="华文仿宋" w:cs="Arial" w:hint="eastAsia"/>
          <w:color w:val="000000" w:themeColor="text1"/>
          <w:sz w:val="32"/>
          <w:szCs w:val="32"/>
        </w:rPr>
        <w:t>经营者达到风险警示标准</w:t>
      </w:r>
      <w:r w:rsidR="00FC68CA">
        <w:rPr>
          <w:rFonts w:ascii="方正仿宋_GBK" w:eastAsia="方正仿宋_GBK" w:hAnsi="华文仿宋" w:cs="Arial" w:hint="eastAsia"/>
          <w:color w:val="000000" w:themeColor="text1"/>
          <w:sz w:val="32"/>
          <w:szCs w:val="32"/>
        </w:rPr>
        <w:t>的</w:t>
      </w:r>
      <w:r>
        <w:rPr>
          <w:rFonts w:ascii="方正仿宋_GBK" w:eastAsia="方正仿宋_GBK" w:hAnsi="华文仿宋" w:cs="Arial" w:hint="eastAsia"/>
          <w:color w:val="000000" w:themeColor="text1"/>
          <w:sz w:val="32"/>
          <w:szCs w:val="32"/>
        </w:rPr>
        <w:t>，应当向行业主管部门或者管理服务平台报送信息。</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行业主管部门应当根据经营者预收资金余额相关信息以及采取的风险防范措施等情况，对经营者予以分类监管，通过管理服务平台向消费者公示，警示消费风险，并可以根据当地实际情况调整风险警示标准。</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w:t>
      </w:r>
      <w:r w:rsidR="00FC39ED">
        <w:rPr>
          <w:rFonts w:ascii="黑体" w:eastAsia="黑体" w:hAnsi="黑体" w:cs="Arial" w:hint="eastAsia"/>
          <w:color w:val="000000" w:themeColor="text1"/>
          <w:sz w:val="32"/>
          <w:szCs w:val="32"/>
        </w:rPr>
        <w:t>三十一</w:t>
      </w:r>
      <w:r>
        <w:rPr>
          <w:rFonts w:ascii="黑体" w:eastAsia="黑体" w:hAnsi="黑体" w:cs="Arial" w:hint="eastAsia"/>
          <w:color w:val="000000" w:themeColor="text1"/>
          <w:sz w:val="32"/>
          <w:szCs w:val="32"/>
        </w:rPr>
        <w:t>条</w:t>
      </w:r>
      <w:r w:rsidR="00994D2B">
        <w:rPr>
          <w:rFonts w:ascii="方正仿宋_GBK" w:eastAsia="方正仿宋_GBK" w:hAnsi="华文仿宋" w:cs="Arial" w:hint="eastAsia"/>
          <w:color w:val="000000" w:themeColor="text1"/>
          <w:sz w:val="32"/>
          <w:szCs w:val="32"/>
        </w:rPr>
        <w:t xml:space="preserve">　</w:t>
      </w:r>
      <w:r>
        <w:rPr>
          <w:rFonts w:ascii="方正仿宋_GBK" w:eastAsia="方正仿宋_GBK" w:hAnsi="华文仿宋" w:cs="Arial" w:hint="eastAsia"/>
          <w:color w:val="000000" w:themeColor="text1"/>
          <w:sz w:val="32"/>
          <w:szCs w:val="32"/>
        </w:rPr>
        <w:t>行业主管部门应当依托管理服务平台，通过信息审核比对、异常信息预警等方式，对本行业预付卡经营活动</w:t>
      </w:r>
      <w:r w:rsidR="001C119E">
        <w:rPr>
          <w:rFonts w:ascii="方正仿宋_GBK" w:eastAsia="方正仿宋_GBK" w:hAnsi="华文仿宋" w:cs="Arial" w:hint="eastAsia"/>
          <w:color w:val="000000" w:themeColor="text1"/>
          <w:sz w:val="32"/>
          <w:szCs w:val="32"/>
        </w:rPr>
        <w:t>实施</w:t>
      </w:r>
      <w:r>
        <w:rPr>
          <w:rFonts w:ascii="方正仿宋_GBK" w:eastAsia="方正仿宋_GBK" w:hAnsi="华文仿宋" w:cs="Arial" w:hint="eastAsia"/>
          <w:color w:val="000000" w:themeColor="text1"/>
          <w:sz w:val="32"/>
          <w:szCs w:val="32"/>
        </w:rPr>
        <w:t>日常监督管理，开展联合抽查或者跨部门联合执法，督促经营者规范经营。</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lastRenderedPageBreak/>
        <w:t>对于</w:t>
      </w:r>
      <w:r w:rsidR="001C119E">
        <w:rPr>
          <w:rFonts w:ascii="方正仿宋_GBK" w:eastAsia="方正仿宋_GBK" w:hAnsi="华文仿宋" w:cs="Arial" w:hint="eastAsia"/>
          <w:color w:val="000000" w:themeColor="text1"/>
          <w:sz w:val="32"/>
          <w:szCs w:val="32"/>
        </w:rPr>
        <w:t>重大</w:t>
      </w:r>
      <w:r>
        <w:rPr>
          <w:rFonts w:ascii="方正仿宋_GBK" w:eastAsia="方正仿宋_GBK" w:hAnsi="华文仿宋" w:cs="Arial" w:hint="eastAsia"/>
          <w:color w:val="000000" w:themeColor="text1"/>
          <w:sz w:val="32"/>
          <w:szCs w:val="32"/>
        </w:rPr>
        <w:t>预付卡违法行为，行业主管部门应当加强协作</w:t>
      </w:r>
      <w:r w:rsidR="001C119E">
        <w:rPr>
          <w:rFonts w:ascii="方正仿宋_GBK" w:eastAsia="方正仿宋_GBK" w:hAnsi="华文仿宋" w:cs="Arial" w:hint="eastAsia"/>
          <w:color w:val="000000" w:themeColor="text1"/>
          <w:sz w:val="32"/>
          <w:szCs w:val="32"/>
        </w:rPr>
        <w:t>、及时查处</w:t>
      </w:r>
      <w:r>
        <w:rPr>
          <w:rFonts w:ascii="方正仿宋_GBK" w:eastAsia="方正仿宋_GBK" w:hAnsi="华文仿宋" w:cs="Arial" w:hint="eastAsia"/>
          <w:color w:val="000000" w:themeColor="text1"/>
          <w:sz w:val="32"/>
          <w:szCs w:val="32"/>
        </w:rPr>
        <w:t>，有关单位和个人应当予以协助和配合。</w:t>
      </w:r>
    </w:p>
    <w:p w:rsidR="00000000" w:rsidRDefault="001C4246">
      <w:pPr>
        <w:snapToGrid w:val="0"/>
        <w:spacing w:line="590" w:lineRule="exact"/>
        <w:ind w:firstLineChars="200" w:firstLine="640"/>
        <w:jc w:val="both"/>
        <w:rPr>
          <w:rFonts w:ascii="方正仿宋_GBK" w:eastAsia="方正仿宋_GBK" w:hAnsi="华文仿宋" w:cs="Arial"/>
          <w:color w:val="000000" w:themeColor="text1"/>
          <w:sz w:val="32"/>
          <w:szCs w:val="32"/>
        </w:rPr>
      </w:pPr>
      <w:r w:rsidRPr="001C4246">
        <w:rPr>
          <w:rFonts w:ascii="方正仿宋_GBK" w:eastAsia="方正仿宋_GBK" w:hAnsi="华文仿宋" w:cs="Arial" w:hint="eastAsia"/>
          <w:color w:val="000000" w:themeColor="text1"/>
          <w:sz w:val="32"/>
          <w:szCs w:val="32"/>
        </w:rPr>
        <w:t>乡镇人民政府（街道办事处）应当根据本地实际情况将预付卡管理工作纳入网格化社会治理机制，协助有关部门做好预付卡管理和联合执法。</w:t>
      </w:r>
    </w:p>
    <w:p w:rsidR="00000000" w:rsidRDefault="009F690E">
      <w:pPr>
        <w:overflowPunct w:val="0"/>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第三十</w:t>
      </w:r>
      <w:r w:rsidR="00FC39ED">
        <w:rPr>
          <w:rFonts w:ascii="黑体" w:eastAsia="黑体" w:hAnsi="黑体" w:cs="Arial" w:hint="eastAsia"/>
          <w:color w:val="000000" w:themeColor="text1"/>
          <w:sz w:val="32"/>
          <w:szCs w:val="32"/>
        </w:rPr>
        <w:t>二</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行业主管部门应当</w:t>
      </w:r>
      <w:r w:rsidR="008E1C0F">
        <w:rPr>
          <w:rFonts w:ascii="方正仿宋_GBK" w:eastAsia="方正仿宋_GBK" w:hAnsi="华文仿宋" w:cs="Arial" w:hint="eastAsia"/>
          <w:color w:val="000000" w:themeColor="text1"/>
          <w:sz w:val="32"/>
          <w:szCs w:val="32"/>
        </w:rPr>
        <w:t>及时掌握辖区内预付卡经营者的经营动态，</w:t>
      </w:r>
      <w:r w:rsidR="0062788D">
        <w:rPr>
          <w:rFonts w:ascii="方正仿宋_GBK" w:eastAsia="方正仿宋_GBK" w:hAnsi="华文仿宋" w:cs="Arial" w:hint="eastAsia"/>
          <w:color w:val="000000" w:themeColor="text1"/>
          <w:sz w:val="32"/>
          <w:szCs w:val="32"/>
        </w:rPr>
        <w:t>确</w:t>
      </w:r>
      <w:r w:rsidR="009D6C4C">
        <w:rPr>
          <w:rFonts w:ascii="方正仿宋_GBK" w:eastAsia="方正仿宋_GBK" w:hAnsi="华文仿宋" w:cs="Arial" w:hint="eastAsia"/>
          <w:color w:val="000000" w:themeColor="text1"/>
          <w:sz w:val="32"/>
          <w:szCs w:val="32"/>
        </w:rPr>
        <w:t>定</w:t>
      </w:r>
      <w:r w:rsidR="0062788D">
        <w:rPr>
          <w:rFonts w:ascii="方正仿宋_GBK" w:eastAsia="方正仿宋_GBK" w:hAnsi="华文仿宋" w:cs="Arial" w:hint="eastAsia"/>
          <w:color w:val="000000" w:themeColor="text1"/>
          <w:sz w:val="32"/>
          <w:szCs w:val="32"/>
        </w:rPr>
        <w:t>重点监管领域、监管情形和监管对象。对违反预付卡管理</w:t>
      </w:r>
      <w:r w:rsidR="009D6C4C">
        <w:rPr>
          <w:rFonts w:ascii="方正仿宋_GBK" w:eastAsia="方正仿宋_GBK" w:hAnsi="华文仿宋" w:cs="Arial" w:hint="eastAsia"/>
          <w:color w:val="000000" w:themeColor="text1"/>
          <w:sz w:val="32"/>
          <w:szCs w:val="32"/>
        </w:rPr>
        <w:t>的</w:t>
      </w:r>
      <w:r w:rsidR="0062788D">
        <w:rPr>
          <w:rFonts w:ascii="方正仿宋_GBK" w:eastAsia="方正仿宋_GBK" w:hAnsi="华文仿宋" w:cs="Arial" w:hint="eastAsia"/>
          <w:color w:val="000000" w:themeColor="text1"/>
          <w:sz w:val="32"/>
          <w:szCs w:val="32"/>
        </w:rPr>
        <w:t>，有权责令其停止</w:t>
      </w:r>
      <w:r w:rsidR="009D6C4C">
        <w:rPr>
          <w:rFonts w:ascii="方正仿宋_GBK" w:eastAsia="方正仿宋_GBK" w:hAnsi="华文仿宋" w:cs="Arial" w:hint="eastAsia"/>
          <w:color w:val="000000" w:themeColor="text1"/>
          <w:sz w:val="32"/>
          <w:szCs w:val="32"/>
        </w:rPr>
        <w:t>违法行为，并向社会公开监督检查记录</w:t>
      </w:r>
      <w:r w:rsidR="0062788D">
        <w:rPr>
          <w:rFonts w:ascii="方正仿宋_GBK" w:eastAsia="方正仿宋_GBK" w:hAnsi="华文仿宋" w:cs="Arial" w:hint="eastAsia"/>
          <w:color w:val="000000" w:themeColor="text1"/>
          <w:sz w:val="32"/>
          <w:szCs w:val="32"/>
        </w:rPr>
        <w:t>。</w:t>
      </w:r>
    </w:p>
    <w:p w:rsidR="00000000" w:rsidRDefault="00B00E8D">
      <w:pPr>
        <w:overflowPunct w:val="0"/>
        <w:adjustRightInd w:val="0"/>
        <w:snapToGrid w:val="0"/>
        <w:spacing w:line="590" w:lineRule="exact"/>
        <w:ind w:firstLineChars="200" w:firstLine="640"/>
        <w:jc w:val="both"/>
        <w:rPr>
          <w:rFonts w:ascii="方正仿宋_GBK" w:eastAsia="方正仿宋_GBK" w:hAnsi="华文仿宋"/>
          <w:color w:val="000000" w:themeColor="text1"/>
          <w:sz w:val="32"/>
          <w:szCs w:val="32"/>
        </w:rPr>
      </w:pPr>
      <w:r>
        <w:rPr>
          <w:rFonts w:ascii="黑体" w:eastAsia="黑体" w:hAnsi="黑体" w:cs="Arial" w:hint="eastAsia"/>
          <w:color w:val="000000" w:themeColor="text1"/>
          <w:sz w:val="32"/>
          <w:szCs w:val="32"/>
        </w:rPr>
        <w:t>第三十</w:t>
      </w:r>
      <w:r w:rsidR="00FC39ED">
        <w:rPr>
          <w:rFonts w:ascii="黑体" w:eastAsia="黑体" w:hAnsi="黑体" w:cs="Arial" w:hint="eastAsia"/>
          <w:color w:val="000000" w:themeColor="text1"/>
          <w:sz w:val="32"/>
          <w:szCs w:val="32"/>
        </w:rPr>
        <w:t>三</w:t>
      </w:r>
      <w:r w:rsidR="00994D2B">
        <w:rPr>
          <w:rFonts w:ascii="黑体" w:eastAsia="黑体" w:hAnsi="黑体" w:cs="Arial" w:hint="eastAsia"/>
          <w:color w:val="000000" w:themeColor="text1"/>
          <w:sz w:val="32"/>
          <w:szCs w:val="32"/>
        </w:rPr>
        <w:t>条</w:t>
      </w:r>
      <w:r w:rsidR="00994D2B">
        <w:rPr>
          <w:rFonts w:ascii="方正仿宋_GBK" w:eastAsia="方正仿宋_GBK" w:hAnsi="华文仿宋" w:cs="Arial" w:hint="eastAsia"/>
          <w:color w:val="000000" w:themeColor="text1"/>
          <w:sz w:val="32"/>
          <w:szCs w:val="32"/>
        </w:rPr>
        <w:t xml:space="preserve">　</w:t>
      </w:r>
      <w:r w:rsidR="008E1C0F">
        <w:rPr>
          <w:rFonts w:ascii="方正仿宋_GBK" w:eastAsia="方正仿宋_GBK" w:hAnsi="华文仿宋" w:cs="Arial" w:hint="eastAsia"/>
          <w:color w:val="000000" w:themeColor="text1"/>
          <w:sz w:val="32"/>
          <w:szCs w:val="32"/>
        </w:rPr>
        <w:t>行业主管部门应当</w:t>
      </w:r>
      <w:r w:rsidR="009F690E">
        <w:rPr>
          <w:rFonts w:ascii="方正仿宋_GBK" w:eastAsia="方正仿宋_GBK" w:hAnsi="华文仿宋" w:cs="Arial" w:hint="eastAsia"/>
          <w:color w:val="000000" w:themeColor="text1"/>
          <w:sz w:val="32"/>
          <w:szCs w:val="32"/>
        </w:rPr>
        <w:t>如实</w:t>
      </w:r>
      <w:r w:rsidR="009F690E">
        <w:rPr>
          <w:rFonts w:ascii="方正仿宋_GBK" w:eastAsia="方正仿宋_GBK" w:hAnsi="华文仿宋" w:hint="eastAsia"/>
          <w:color w:val="000000" w:themeColor="text1"/>
          <w:sz w:val="32"/>
          <w:szCs w:val="32"/>
        </w:rPr>
        <w:t>记录预付卡经营活动监督管理过程中产生的信用信息，并向公共信用信息系统归集。有关单位和个人发现或者存储有预付卡经营者及其投资人失信信息的，应当及时向行业主管部门提供。</w:t>
      </w:r>
    </w:p>
    <w:p w:rsidR="00000000" w:rsidRDefault="009F690E">
      <w:pPr>
        <w:overflowPunct w:val="0"/>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hint="eastAsia"/>
          <w:color w:val="000000" w:themeColor="text1"/>
          <w:sz w:val="32"/>
          <w:szCs w:val="32"/>
        </w:rPr>
        <w:t>有关部门根据法律、法规、规章的规定，对列入失信名单的经营者采取惩戒措施或者实行联合惩戒</w:t>
      </w:r>
      <w:r w:rsidR="001C119E">
        <w:rPr>
          <w:rFonts w:ascii="方正仿宋_GBK" w:eastAsia="方正仿宋_GBK" w:hAnsi="华文仿宋" w:hint="eastAsia"/>
          <w:color w:val="000000" w:themeColor="text1"/>
          <w:sz w:val="32"/>
          <w:szCs w:val="32"/>
        </w:rPr>
        <w:t>，对</w:t>
      </w:r>
      <w:r w:rsidR="001C119E" w:rsidRPr="001C119E">
        <w:rPr>
          <w:rFonts w:ascii="方正仿宋_GBK" w:eastAsia="方正仿宋_GBK" w:hAnsi="华文仿宋" w:hint="eastAsia"/>
          <w:color w:val="000000" w:themeColor="text1"/>
          <w:sz w:val="32"/>
          <w:szCs w:val="32"/>
        </w:rPr>
        <w:t>有不良信用记录的</w:t>
      </w:r>
      <w:r w:rsidR="001C119E">
        <w:rPr>
          <w:rFonts w:ascii="方正仿宋_GBK" w:eastAsia="方正仿宋_GBK" w:hAnsi="华文仿宋" w:hint="eastAsia"/>
          <w:color w:val="000000" w:themeColor="text1"/>
          <w:sz w:val="32"/>
          <w:szCs w:val="32"/>
        </w:rPr>
        <w:t>经营者</w:t>
      </w:r>
      <w:r w:rsidR="001C119E" w:rsidRPr="009F690E">
        <w:rPr>
          <w:rFonts w:ascii="方正仿宋_GBK" w:eastAsia="方正仿宋_GBK" w:hAnsi="华文仿宋" w:cs="Arial" w:hint="eastAsia"/>
          <w:color w:val="000000" w:themeColor="text1"/>
          <w:sz w:val="32"/>
          <w:szCs w:val="32"/>
        </w:rPr>
        <w:t>增加检查频次</w:t>
      </w:r>
      <w:r w:rsidR="001C119E">
        <w:rPr>
          <w:rFonts w:ascii="方正仿宋_GBK" w:eastAsia="方正仿宋_GBK" w:hAnsi="华文仿宋" w:cs="Arial" w:hint="eastAsia"/>
          <w:color w:val="000000" w:themeColor="text1"/>
          <w:sz w:val="32"/>
          <w:szCs w:val="32"/>
        </w:rPr>
        <w:t>。</w:t>
      </w:r>
    </w:p>
    <w:p w:rsidR="00B00E8D" w:rsidRDefault="00B00E8D" w:rsidP="00B00E8D">
      <w:pPr>
        <w:adjustRightInd w:val="0"/>
        <w:snapToGrid w:val="0"/>
        <w:spacing w:line="590" w:lineRule="exact"/>
        <w:ind w:firstLineChars="200" w:firstLine="640"/>
        <w:jc w:val="both"/>
        <w:rPr>
          <w:rFonts w:ascii="方正仿宋_GBK" w:eastAsia="方正仿宋_GBK" w:hAnsi="华文仿宋" w:cs="Arial"/>
          <w:color w:val="000000" w:themeColor="text1"/>
          <w:sz w:val="32"/>
          <w:szCs w:val="32"/>
        </w:rPr>
      </w:pPr>
      <w:r w:rsidRPr="003215DB">
        <w:rPr>
          <w:rFonts w:ascii="方正黑体_GBK" w:eastAsia="方正黑体_GBK" w:hAnsi="华文仿宋" w:cs="Arial" w:hint="eastAsia"/>
          <w:color w:val="000000" w:themeColor="text1"/>
          <w:sz w:val="32"/>
          <w:szCs w:val="32"/>
        </w:rPr>
        <w:t>第</w:t>
      </w:r>
      <w:r>
        <w:rPr>
          <w:rFonts w:ascii="方正黑体_GBK" w:eastAsia="方正黑体_GBK" w:hAnsi="华文仿宋" w:cs="Arial" w:hint="eastAsia"/>
          <w:color w:val="000000" w:themeColor="text1"/>
          <w:sz w:val="32"/>
          <w:szCs w:val="32"/>
        </w:rPr>
        <w:t>三十</w:t>
      </w:r>
      <w:r w:rsidR="00044ADD">
        <w:rPr>
          <w:rFonts w:ascii="方正黑体_GBK" w:eastAsia="方正黑体_GBK" w:hAnsi="华文仿宋" w:cs="Arial" w:hint="eastAsia"/>
          <w:color w:val="000000" w:themeColor="text1"/>
          <w:sz w:val="32"/>
          <w:szCs w:val="32"/>
        </w:rPr>
        <w:t>四</w:t>
      </w:r>
      <w:r w:rsidRPr="003215DB">
        <w:rPr>
          <w:rFonts w:ascii="方正黑体_GBK" w:eastAsia="方正黑体_GBK" w:hAnsi="华文仿宋" w:cs="Arial" w:hint="eastAsia"/>
          <w:color w:val="000000" w:themeColor="text1"/>
          <w:sz w:val="32"/>
          <w:szCs w:val="32"/>
        </w:rPr>
        <w:t>条</w:t>
      </w:r>
      <w:r w:rsidRPr="003215DB">
        <w:rPr>
          <w:rFonts w:ascii="方正仿宋_GBK" w:eastAsia="方正仿宋_GBK" w:hAnsi="华文仿宋" w:cs="Arial" w:hint="eastAsia"/>
          <w:color w:val="000000" w:themeColor="text1"/>
          <w:sz w:val="32"/>
          <w:szCs w:val="32"/>
        </w:rPr>
        <w:t xml:space="preserve">　有关部门可以通过购买服务等方式，委托预付卡行业组织、专业服务机构对预付卡经营活动监督管理工作提供技术等支持。</w:t>
      </w:r>
    </w:p>
    <w:p w:rsidR="00000000" w:rsidRDefault="009F690E">
      <w:pPr>
        <w:adjustRightInd w:val="0"/>
        <w:snapToGrid w:val="0"/>
        <w:spacing w:line="590" w:lineRule="exact"/>
        <w:ind w:firstLineChars="200" w:firstLine="640"/>
        <w:jc w:val="both"/>
        <w:rPr>
          <w:rFonts w:ascii="方正仿宋_GBK" w:eastAsia="方正仿宋_GBK" w:hAnsi="华文仿宋"/>
          <w:color w:val="000000" w:themeColor="text1"/>
          <w:sz w:val="32"/>
          <w:szCs w:val="32"/>
        </w:rPr>
      </w:pPr>
      <w:r>
        <w:rPr>
          <w:rFonts w:ascii="黑体" w:eastAsia="黑体" w:hAnsi="黑体" w:cs="Arial" w:hint="eastAsia"/>
          <w:color w:val="000000" w:themeColor="text1"/>
          <w:sz w:val="32"/>
          <w:szCs w:val="32"/>
        </w:rPr>
        <w:t>第三十</w:t>
      </w:r>
      <w:r w:rsidR="00044ADD">
        <w:rPr>
          <w:rFonts w:ascii="黑体" w:eastAsia="黑体" w:hAnsi="黑体" w:cs="Arial" w:hint="eastAsia"/>
          <w:color w:val="000000" w:themeColor="text1"/>
          <w:sz w:val="32"/>
          <w:szCs w:val="32"/>
        </w:rPr>
        <w:t>五</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w:t>
      </w:r>
      <w:r>
        <w:rPr>
          <w:rFonts w:ascii="方正仿宋_GBK" w:eastAsia="方正仿宋_GBK" w:hAnsi="华文仿宋" w:hint="eastAsia"/>
          <w:color w:val="000000" w:themeColor="text1"/>
          <w:sz w:val="32"/>
          <w:szCs w:val="32"/>
        </w:rPr>
        <w:t>有关部门和单位应当对通过管理服务平台获悉的有关经营者商业秘密、个人隐私予以保密，确保信息安全。</w:t>
      </w:r>
    </w:p>
    <w:p w:rsidR="00000000" w:rsidRDefault="00DD6B84">
      <w:pPr>
        <w:adjustRightInd w:val="0"/>
        <w:snapToGrid w:val="0"/>
        <w:spacing w:line="590" w:lineRule="exact"/>
        <w:ind w:firstLineChars="200" w:firstLine="640"/>
        <w:jc w:val="both"/>
        <w:rPr>
          <w:rFonts w:ascii="方正仿宋_GBK" w:eastAsia="方正仿宋_GBK" w:hAnsi="华文仿宋"/>
          <w:color w:val="000000" w:themeColor="text1"/>
          <w:sz w:val="32"/>
          <w:szCs w:val="32"/>
        </w:rPr>
      </w:pPr>
      <w:r w:rsidRPr="00DD6B84">
        <w:rPr>
          <w:rFonts w:ascii="方正仿宋_GBK" w:eastAsia="方正仿宋_GBK" w:hAnsi="华文仿宋" w:hint="eastAsia"/>
          <w:color w:val="000000" w:themeColor="text1"/>
          <w:sz w:val="32"/>
          <w:szCs w:val="32"/>
        </w:rPr>
        <w:lastRenderedPageBreak/>
        <w:t>经营者应当对收集的消费者个人信息严格保密，不得泄露、出售或者非法向他人提供。</w:t>
      </w:r>
    </w:p>
    <w:p w:rsidR="00000000" w:rsidRDefault="009F690E">
      <w:pPr>
        <w:snapToGrid w:val="0"/>
        <w:spacing w:line="590" w:lineRule="exact"/>
        <w:ind w:firstLineChars="200" w:firstLine="640"/>
        <w:jc w:val="both"/>
        <w:rPr>
          <w:rFonts w:ascii="方正仿宋_GBK" w:eastAsia="方正仿宋_GBK" w:hAnsi="华文仿宋"/>
          <w:color w:val="000000" w:themeColor="text1"/>
          <w:sz w:val="32"/>
          <w:szCs w:val="32"/>
        </w:rPr>
      </w:pPr>
      <w:r>
        <w:rPr>
          <w:rFonts w:ascii="黑体" w:eastAsia="黑体" w:hAnsi="黑体" w:cs="Arial" w:hint="eastAsia"/>
          <w:color w:val="000000" w:themeColor="text1"/>
          <w:sz w:val="32"/>
          <w:szCs w:val="32"/>
        </w:rPr>
        <w:t>第三十</w:t>
      </w:r>
      <w:r w:rsidR="00044ADD">
        <w:rPr>
          <w:rFonts w:ascii="黑体" w:eastAsia="黑体" w:hAnsi="黑体" w:cs="Arial" w:hint="eastAsia"/>
          <w:color w:val="000000" w:themeColor="text1"/>
          <w:sz w:val="32"/>
          <w:szCs w:val="32"/>
        </w:rPr>
        <w:t>六</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w:t>
      </w:r>
      <w:r w:rsidR="00DD6B84" w:rsidRPr="00DD6B84">
        <w:rPr>
          <w:rFonts w:ascii="方正仿宋_GBK" w:eastAsia="方正仿宋_GBK" w:hAnsi="华文仿宋" w:cs="Arial"/>
          <w:color w:val="000000" w:themeColor="text1"/>
          <w:sz w:val="32"/>
          <w:szCs w:val="32"/>
        </w:rPr>
        <w:t>经营者违反本</w:t>
      </w:r>
      <w:r w:rsidR="001C4246">
        <w:rPr>
          <w:rFonts w:ascii="方正仿宋_GBK" w:eastAsia="方正仿宋_GBK" w:hAnsi="华文仿宋" w:cs="Arial" w:hint="eastAsia"/>
          <w:color w:val="000000" w:themeColor="text1"/>
          <w:sz w:val="32"/>
          <w:szCs w:val="32"/>
        </w:rPr>
        <w:t>办法</w:t>
      </w:r>
      <w:r w:rsidR="00DD6B84" w:rsidRPr="00DD6B84">
        <w:rPr>
          <w:rFonts w:ascii="方正仿宋_GBK" w:eastAsia="方正仿宋_GBK" w:hAnsi="华文仿宋"/>
          <w:color w:val="000000" w:themeColor="text1"/>
          <w:sz w:val="32"/>
          <w:szCs w:val="32"/>
        </w:rPr>
        <w:t>第十</w:t>
      </w:r>
      <w:r w:rsidR="00A23CE7" w:rsidRPr="00A23CE7">
        <w:rPr>
          <w:rFonts w:ascii="方正仿宋_GBK" w:eastAsia="方正仿宋_GBK" w:hAnsi="华文仿宋" w:hint="eastAsia"/>
          <w:color w:val="000000" w:themeColor="text1"/>
          <w:sz w:val="32"/>
          <w:szCs w:val="32"/>
        </w:rPr>
        <w:t>一</w:t>
      </w:r>
      <w:r w:rsidR="00DD6B84" w:rsidRPr="00DD6B84">
        <w:rPr>
          <w:rFonts w:ascii="方正仿宋_GBK" w:eastAsia="方正仿宋_GBK" w:hAnsi="华文仿宋"/>
          <w:color w:val="000000" w:themeColor="text1"/>
          <w:sz w:val="32"/>
          <w:szCs w:val="32"/>
        </w:rPr>
        <w:t>条规定</w:t>
      </w:r>
      <w:r w:rsidR="00DD6B84" w:rsidRPr="00DD6B84">
        <w:rPr>
          <w:rFonts w:ascii="方正仿宋_GBK" w:eastAsia="方正仿宋_GBK" w:hAnsi="华文仿宋" w:cs="Arial"/>
          <w:color w:val="000000" w:themeColor="text1"/>
          <w:sz w:val="32"/>
          <w:szCs w:val="32"/>
        </w:rPr>
        <w:t>，</w:t>
      </w:r>
      <w:r w:rsidR="00DD6B84" w:rsidRPr="00DD6B84">
        <w:rPr>
          <w:rFonts w:ascii="方正仿宋_GBK" w:eastAsia="方正仿宋_GBK" w:hAnsi="华文仿宋"/>
          <w:color w:val="000000" w:themeColor="text1"/>
          <w:sz w:val="32"/>
          <w:szCs w:val="32"/>
        </w:rPr>
        <w:t>未及时报送有关信息的，由</w:t>
      </w:r>
      <w:r w:rsidR="00A32141" w:rsidRPr="00A32141">
        <w:rPr>
          <w:rFonts w:ascii="方正仿宋_GBK" w:eastAsia="方正仿宋_GBK" w:hAnsi="华文仿宋" w:hint="eastAsia"/>
          <w:color w:val="000000" w:themeColor="text1"/>
          <w:sz w:val="32"/>
          <w:szCs w:val="32"/>
        </w:rPr>
        <w:t>行业主管</w:t>
      </w:r>
      <w:r w:rsidR="00DD6B84" w:rsidRPr="00DD6B84">
        <w:rPr>
          <w:rFonts w:ascii="方正仿宋_GBK" w:eastAsia="方正仿宋_GBK" w:hAnsi="华文仿宋"/>
          <w:color w:val="000000" w:themeColor="text1"/>
          <w:sz w:val="32"/>
          <w:szCs w:val="32"/>
        </w:rPr>
        <w:t>部门责令限期改正；逾期不改</w:t>
      </w:r>
      <w:r w:rsidR="00A32141" w:rsidRPr="00A32141">
        <w:rPr>
          <w:rFonts w:ascii="方正仿宋_GBK" w:eastAsia="方正仿宋_GBK" w:hAnsi="华文仿宋" w:hint="eastAsia"/>
          <w:color w:val="000000" w:themeColor="text1"/>
          <w:sz w:val="32"/>
          <w:szCs w:val="32"/>
        </w:rPr>
        <w:t>正</w:t>
      </w:r>
      <w:r w:rsidR="00DD6B84" w:rsidRPr="00DD6B84">
        <w:rPr>
          <w:rFonts w:ascii="方正仿宋_GBK" w:eastAsia="方正仿宋_GBK" w:hAnsi="华文仿宋"/>
          <w:color w:val="000000" w:themeColor="text1"/>
          <w:sz w:val="32"/>
          <w:szCs w:val="32"/>
        </w:rPr>
        <w:t>的，处</w:t>
      </w:r>
      <w:r w:rsidR="00A32141" w:rsidRPr="00A32141">
        <w:rPr>
          <w:rFonts w:ascii="方正仿宋_GBK" w:eastAsia="方正仿宋_GBK" w:hAnsi="华文仿宋"/>
          <w:color w:val="000000" w:themeColor="text1"/>
          <w:sz w:val="32"/>
          <w:szCs w:val="32"/>
        </w:rPr>
        <w:t>2000</w:t>
      </w:r>
      <w:r w:rsidR="00DD6B84" w:rsidRPr="00DD6B84">
        <w:rPr>
          <w:rFonts w:ascii="方正仿宋_GBK" w:eastAsia="方正仿宋_GBK" w:hAnsi="华文仿宋"/>
          <w:color w:val="000000" w:themeColor="text1"/>
          <w:sz w:val="32"/>
          <w:szCs w:val="32"/>
        </w:rPr>
        <w:t>元以上</w:t>
      </w:r>
      <w:r w:rsidR="00A32141" w:rsidRPr="00A32141">
        <w:rPr>
          <w:rFonts w:ascii="方正仿宋_GBK" w:eastAsia="方正仿宋_GBK" w:hAnsi="华文仿宋"/>
          <w:color w:val="000000" w:themeColor="text1"/>
          <w:sz w:val="32"/>
          <w:szCs w:val="32"/>
        </w:rPr>
        <w:t>2</w:t>
      </w:r>
      <w:r w:rsidR="00FC39ED">
        <w:rPr>
          <w:rFonts w:ascii="方正仿宋_GBK" w:eastAsia="方正仿宋_GBK" w:hAnsi="华文仿宋" w:hint="eastAsia"/>
          <w:color w:val="000000" w:themeColor="text1"/>
          <w:sz w:val="32"/>
          <w:szCs w:val="32"/>
        </w:rPr>
        <w:t>万</w:t>
      </w:r>
      <w:r w:rsidR="00DD6B84" w:rsidRPr="00DD6B84">
        <w:rPr>
          <w:rFonts w:ascii="方正仿宋_GBK" w:eastAsia="方正仿宋_GBK" w:hAnsi="华文仿宋"/>
          <w:color w:val="000000" w:themeColor="text1"/>
          <w:sz w:val="32"/>
          <w:szCs w:val="32"/>
        </w:rPr>
        <w:t>元以下罚款；情节严重的，处</w:t>
      </w:r>
      <w:r w:rsidR="00A32141" w:rsidRPr="00A32141">
        <w:rPr>
          <w:rFonts w:ascii="方正仿宋_GBK" w:eastAsia="方正仿宋_GBK" w:hAnsi="华文仿宋"/>
          <w:color w:val="000000" w:themeColor="text1"/>
          <w:sz w:val="32"/>
          <w:szCs w:val="32"/>
        </w:rPr>
        <w:t>2</w:t>
      </w:r>
      <w:r w:rsidR="00FC39ED">
        <w:rPr>
          <w:rFonts w:ascii="方正仿宋_GBK" w:eastAsia="方正仿宋_GBK" w:hAnsi="华文仿宋" w:hint="eastAsia"/>
          <w:color w:val="000000" w:themeColor="text1"/>
          <w:sz w:val="32"/>
          <w:szCs w:val="32"/>
        </w:rPr>
        <w:t>万</w:t>
      </w:r>
      <w:r w:rsidR="00DD6B84" w:rsidRPr="00DD6B84">
        <w:rPr>
          <w:rFonts w:ascii="方正仿宋_GBK" w:eastAsia="方正仿宋_GBK" w:hAnsi="华文仿宋"/>
          <w:color w:val="000000" w:themeColor="text1"/>
          <w:sz w:val="32"/>
          <w:szCs w:val="32"/>
        </w:rPr>
        <w:t>元以上</w:t>
      </w:r>
      <w:r w:rsidR="00A32141" w:rsidRPr="00A32141">
        <w:rPr>
          <w:rFonts w:ascii="方正仿宋_GBK" w:eastAsia="方正仿宋_GBK" w:hAnsi="华文仿宋"/>
          <w:color w:val="000000" w:themeColor="text1"/>
          <w:sz w:val="32"/>
          <w:szCs w:val="32"/>
        </w:rPr>
        <w:t>5</w:t>
      </w:r>
      <w:r w:rsidR="00FC39ED">
        <w:rPr>
          <w:rFonts w:ascii="方正仿宋_GBK" w:eastAsia="方正仿宋_GBK" w:hAnsi="华文仿宋" w:hint="eastAsia"/>
          <w:color w:val="000000" w:themeColor="text1"/>
          <w:sz w:val="32"/>
          <w:szCs w:val="32"/>
        </w:rPr>
        <w:t>万</w:t>
      </w:r>
      <w:r w:rsidR="00DD6B84" w:rsidRPr="00DD6B84">
        <w:rPr>
          <w:rFonts w:ascii="方正仿宋_GBK" w:eastAsia="方正仿宋_GBK" w:hAnsi="华文仿宋"/>
          <w:color w:val="000000" w:themeColor="text1"/>
          <w:sz w:val="32"/>
          <w:szCs w:val="32"/>
        </w:rPr>
        <w:t>元以下罚款。</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第三十</w:t>
      </w:r>
      <w:r w:rsidR="00044ADD">
        <w:rPr>
          <w:rFonts w:ascii="黑体" w:eastAsia="黑体" w:hAnsi="黑体" w:cs="Arial" w:hint="eastAsia"/>
          <w:color w:val="000000" w:themeColor="text1"/>
          <w:sz w:val="32"/>
          <w:szCs w:val="32"/>
        </w:rPr>
        <w:t>七</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有关部门在监管中发现经营者实施非法金融活动或者有欺诈</w:t>
      </w:r>
      <w:r w:rsidR="00DD6B84" w:rsidRPr="00DD6B84">
        <w:rPr>
          <w:rFonts w:ascii="方正仿宋_GBK" w:eastAsia="方正仿宋_GBK" w:hAnsi="华文仿宋" w:cs="Arial" w:hint="eastAsia"/>
          <w:color w:val="000000" w:themeColor="text1"/>
          <w:sz w:val="32"/>
          <w:szCs w:val="32"/>
        </w:rPr>
        <w:t>行为</w:t>
      </w:r>
      <w:r>
        <w:rPr>
          <w:rFonts w:ascii="方正仿宋_GBK" w:eastAsia="方正仿宋_GBK" w:hAnsi="华文仿宋" w:cs="Arial" w:hint="eastAsia"/>
          <w:color w:val="000000" w:themeColor="text1"/>
          <w:sz w:val="32"/>
          <w:szCs w:val="32"/>
        </w:rPr>
        <w:t>涉嫌犯罪的，应当依法移送有</w:t>
      </w:r>
      <w:r w:rsidR="00994D2B">
        <w:rPr>
          <w:rFonts w:ascii="方正仿宋_GBK" w:eastAsia="方正仿宋_GBK" w:hAnsi="华文仿宋" w:cs="Arial" w:hint="eastAsia"/>
          <w:color w:val="000000" w:themeColor="text1"/>
          <w:sz w:val="32"/>
          <w:szCs w:val="32"/>
        </w:rPr>
        <w:t>关</w:t>
      </w:r>
      <w:r>
        <w:rPr>
          <w:rFonts w:ascii="方正仿宋_GBK" w:eastAsia="方正仿宋_GBK" w:hAnsi="华文仿宋" w:cs="Arial" w:hint="eastAsia"/>
          <w:color w:val="000000" w:themeColor="text1"/>
          <w:sz w:val="32"/>
          <w:szCs w:val="32"/>
        </w:rPr>
        <w:t>机关处理。</w:t>
      </w:r>
    </w:p>
    <w:p w:rsidR="00000000" w:rsidRDefault="003839EF">
      <w:pPr>
        <w:snapToGrid w:val="0"/>
        <w:spacing w:line="590" w:lineRule="exact"/>
        <w:ind w:firstLineChars="200" w:firstLine="640"/>
        <w:jc w:val="both"/>
        <w:rPr>
          <w:rFonts w:ascii="方正仿宋_GBK" w:eastAsia="方正仿宋_GBK" w:hAnsi="华文仿宋" w:cs="Arial"/>
          <w:color w:val="000000" w:themeColor="text1"/>
          <w:sz w:val="32"/>
          <w:szCs w:val="32"/>
        </w:rPr>
      </w:pPr>
    </w:p>
    <w:p w:rsidR="002E7BC3" w:rsidRPr="002E7BC3" w:rsidRDefault="002E7BC3" w:rsidP="002E7BC3">
      <w:pPr>
        <w:snapToGrid w:val="0"/>
        <w:spacing w:line="590" w:lineRule="exact"/>
        <w:jc w:val="center"/>
        <w:rPr>
          <w:rFonts w:ascii="黑体" w:eastAsia="黑体" w:hAnsi="黑体" w:cs="Arial"/>
          <w:color w:val="000000" w:themeColor="text1"/>
          <w:sz w:val="32"/>
          <w:szCs w:val="32"/>
        </w:rPr>
      </w:pPr>
      <w:r w:rsidRPr="002E7BC3">
        <w:rPr>
          <w:rFonts w:ascii="黑体" w:eastAsia="黑体" w:hAnsi="黑体" w:cs="Arial" w:hint="eastAsia"/>
          <w:color w:val="000000" w:themeColor="text1"/>
          <w:sz w:val="32"/>
          <w:szCs w:val="32"/>
        </w:rPr>
        <w:t>第</w:t>
      </w:r>
      <w:r>
        <w:rPr>
          <w:rFonts w:ascii="黑体" w:eastAsia="黑体" w:hAnsi="黑体" w:cs="Arial" w:hint="eastAsia"/>
          <w:color w:val="000000" w:themeColor="text1"/>
          <w:sz w:val="32"/>
          <w:szCs w:val="32"/>
        </w:rPr>
        <w:t>五</w:t>
      </w:r>
      <w:r w:rsidRPr="002E7BC3">
        <w:rPr>
          <w:rFonts w:ascii="黑体" w:eastAsia="黑体" w:hAnsi="黑体" w:cs="Arial" w:hint="eastAsia"/>
          <w:color w:val="000000" w:themeColor="text1"/>
          <w:sz w:val="32"/>
          <w:szCs w:val="32"/>
        </w:rPr>
        <w:t xml:space="preserve">章　</w:t>
      </w:r>
      <w:r>
        <w:rPr>
          <w:rFonts w:ascii="黑体" w:eastAsia="黑体" w:hAnsi="黑体" w:cs="Arial" w:hint="eastAsia"/>
          <w:color w:val="000000" w:themeColor="text1"/>
          <w:sz w:val="32"/>
          <w:szCs w:val="32"/>
        </w:rPr>
        <w:t>附</w:t>
      </w:r>
      <w:r w:rsidRPr="002E7BC3">
        <w:rPr>
          <w:rFonts w:ascii="黑体" w:eastAsia="黑体" w:hAnsi="黑体" w:cs="Arial" w:hint="eastAsia"/>
          <w:color w:val="000000" w:themeColor="text1"/>
          <w:sz w:val="32"/>
          <w:szCs w:val="32"/>
        </w:rPr>
        <w:t xml:space="preserve">　则</w:t>
      </w:r>
    </w:p>
    <w:p w:rsidR="00000000" w:rsidRDefault="003839EF">
      <w:pPr>
        <w:snapToGrid w:val="0"/>
        <w:spacing w:line="590" w:lineRule="exact"/>
        <w:ind w:firstLineChars="200" w:firstLine="640"/>
        <w:jc w:val="both"/>
        <w:rPr>
          <w:rFonts w:ascii="方正仿宋_GBK" w:eastAsia="方正仿宋_GBK" w:hAnsi="华文仿宋" w:cs="Arial"/>
          <w:color w:val="000000" w:themeColor="text1"/>
          <w:sz w:val="32"/>
          <w:szCs w:val="32"/>
        </w:rPr>
      </w:pPr>
    </w:p>
    <w:p w:rsidR="00994D2B" w:rsidRPr="00CD166C" w:rsidRDefault="00994D2B" w:rsidP="00994D2B">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第三十</w:t>
      </w:r>
      <w:r w:rsidR="00044ADD">
        <w:rPr>
          <w:rFonts w:ascii="黑体" w:eastAsia="黑体" w:hAnsi="黑体" w:cs="Arial" w:hint="eastAsia"/>
          <w:color w:val="000000" w:themeColor="text1"/>
          <w:sz w:val="32"/>
          <w:szCs w:val="32"/>
        </w:rPr>
        <w:t>八</w:t>
      </w:r>
      <w:r>
        <w:rPr>
          <w:rFonts w:ascii="黑体" w:eastAsia="黑体" w:hAnsi="黑体" w:cs="Arial" w:hint="eastAsia"/>
          <w:color w:val="000000" w:themeColor="text1"/>
          <w:sz w:val="32"/>
          <w:szCs w:val="32"/>
        </w:rPr>
        <w:t xml:space="preserve">条　</w:t>
      </w:r>
      <w:r>
        <w:rPr>
          <w:rFonts w:ascii="方正仿宋_GBK" w:eastAsia="方正仿宋_GBK" w:hAnsi="华文仿宋" w:cs="Arial" w:hint="eastAsia"/>
          <w:color w:val="000000" w:themeColor="text1"/>
          <w:sz w:val="32"/>
          <w:szCs w:val="32"/>
        </w:rPr>
        <w:t>法律、法规对供电、供水、供气等公用事业单位预付卡经营活动及其监督管理另有规定的，从其规定。</w:t>
      </w:r>
    </w:p>
    <w:p w:rsidR="00994D2B" w:rsidRPr="00CD166C" w:rsidRDefault="00994D2B" w:rsidP="00994D2B">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本省行政区域内经营者以其他预收款方式提供商品或者服务的活动及其监督管理，参照本办法执行。</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黑体" w:eastAsia="黑体" w:hAnsi="黑体" w:cs="Arial" w:hint="eastAsia"/>
          <w:color w:val="000000" w:themeColor="text1"/>
          <w:sz w:val="32"/>
          <w:szCs w:val="32"/>
        </w:rPr>
        <w:t>第三十</w:t>
      </w:r>
      <w:r w:rsidR="00044ADD">
        <w:rPr>
          <w:rFonts w:ascii="黑体" w:eastAsia="黑体" w:hAnsi="黑体" w:cs="Arial" w:hint="eastAsia"/>
          <w:color w:val="000000" w:themeColor="text1"/>
          <w:sz w:val="32"/>
          <w:szCs w:val="32"/>
        </w:rPr>
        <w:t>九</w:t>
      </w:r>
      <w:r>
        <w:rPr>
          <w:rFonts w:ascii="黑体" w:eastAsia="黑体" w:hAnsi="黑体" w:cs="Arial" w:hint="eastAsia"/>
          <w:color w:val="000000" w:themeColor="text1"/>
          <w:sz w:val="32"/>
          <w:szCs w:val="32"/>
        </w:rPr>
        <w:t>条</w:t>
      </w:r>
      <w:r w:rsidR="00994D2B">
        <w:rPr>
          <w:rFonts w:ascii="方正仿宋_GBK" w:eastAsia="方正仿宋_GBK" w:hAnsi="华文仿宋" w:cs="Arial" w:hint="eastAsia"/>
          <w:color w:val="000000" w:themeColor="text1"/>
          <w:sz w:val="32"/>
          <w:szCs w:val="32"/>
        </w:rPr>
        <w:t xml:space="preserve">　</w:t>
      </w:r>
      <w:r>
        <w:rPr>
          <w:rFonts w:ascii="方正仿宋_GBK" w:eastAsia="方正仿宋_GBK" w:hAnsi="华文仿宋" w:cs="Arial" w:hint="eastAsia"/>
          <w:color w:val="000000" w:themeColor="text1"/>
          <w:sz w:val="32"/>
          <w:szCs w:val="32"/>
        </w:rPr>
        <w:t>本办法中有关用语的含义：</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预收资金，是指经营者通过发行预付卡所预收的资金总额</w:t>
      </w:r>
      <w:r w:rsidR="00994D2B">
        <w:rPr>
          <w:rFonts w:ascii="方正仿宋_GBK" w:eastAsia="方正仿宋_GBK" w:hAnsi="华文仿宋" w:cs="Arial" w:hint="eastAsia"/>
          <w:color w:val="000000" w:themeColor="text1"/>
          <w:sz w:val="32"/>
          <w:szCs w:val="32"/>
        </w:rPr>
        <w:t>；预收资金余额，是指预收资金扣减已兑付商品或者服务价款后的余额。</w:t>
      </w:r>
    </w:p>
    <w:p w:rsidR="00000000" w:rsidRDefault="009F690E">
      <w:pPr>
        <w:snapToGrid w:val="0"/>
        <w:spacing w:line="590" w:lineRule="exact"/>
        <w:ind w:firstLineChars="200" w:firstLine="640"/>
        <w:jc w:val="both"/>
        <w:rPr>
          <w:rFonts w:ascii="方正仿宋_GBK" w:eastAsia="方正仿宋_GBK" w:hAnsi="华文仿宋" w:cs="Arial"/>
          <w:color w:val="000000" w:themeColor="text1"/>
          <w:sz w:val="32"/>
          <w:szCs w:val="32"/>
        </w:rPr>
      </w:pPr>
      <w:r>
        <w:rPr>
          <w:rFonts w:ascii="方正仿宋_GBK" w:eastAsia="方正仿宋_GBK" w:hAnsi="华文仿宋" w:cs="Arial" w:hint="eastAsia"/>
          <w:color w:val="000000" w:themeColor="text1"/>
          <w:sz w:val="32"/>
          <w:szCs w:val="32"/>
        </w:rPr>
        <w:t>集团，是指由同一企业法人绝对控股的企业法人联合体；同一品牌特许经营体系，是指使用同一企业标志或者注册商标的经</w:t>
      </w:r>
      <w:r>
        <w:rPr>
          <w:rFonts w:ascii="方正仿宋_GBK" w:eastAsia="方正仿宋_GBK" w:hAnsi="华文仿宋" w:cs="Arial" w:hint="eastAsia"/>
          <w:color w:val="000000" w:themeColor="text1"/>
          <w:sz w:val="32"/>
          <w:szCs w:val="32"/>
        </w:rPr>
        <w:lastRenderedPageBreak/>
        <w:t>营者联合体；投资人，是指法人的股东、实际控制人以及非法人组织的负责人。</w:t>
      </w:r>
    </w:p>
    <w:p w:rsidR="003839EF" w:rsidRDefault="009F690E">
      <w:pPr>
        <w:snapToGrid w:val="0"/>
        <w:spacing w:line="590" w:lineRule="exact"/>
        <w:ind w:firstLineChars="200" w:firstLine="640"/>
        <w:jc w:val="both"/>
        <w:rPr>
          <w:rFonts w:ascii="方正仿宋_GBK" w:eastAsia="方正仿宋_GBK" w:hAnsi="华文仿宋"/>
          <w:color w:val="000000" w:themeColor="text1"/>
          <w:sz w:val="32"/>
          <w:szCs w:val="32"/>
        </w:rPr>
      </w:pPr>
      <w:r>
        <w:rPr>
          <w:rFonts w:ascii="黑体" w:eastAsia="黑体" w:hAnsi="黑体" w:cs="Arial" w:hint="eastAsia"/>
          <w:color w:val="000000" w:themeColor="text1"/>
          <w:sz w:val="32"/>
          <w:szCs w:val="32"/>
        </w:rPr>
        <w:t>第</w:t>
      </w:r>
      <w:r w:rsidR="00044ADD">
        <w:rPr>
          <w:rFonts w:ascii="黑体" w:eastAsia="黑体" w:hAnsi="黑体" w:cs="Arial" w:hint="eastAsia"/>
          <w:color w:val="000000" w:themeColor="text1"/>
          <w:sz w:val="32"/>
          <w:szCs w:val="32"/>
        </w:rPr>
        <w:t>四十</w:t>
      </w:r>
      <w:r>
        <w:rPr>
          <w:rFonts w:ascii="黑体" w:eastAsia="黑体" w:hAnsi="黑体" w:cs="Arial" w:hint="eastAsia"/>
          <w:color w:val="000000" w:themeColor="text1"/>
          <w:sz w:val="32"/>
          <w:szCs w:val="32"/>
        </w:rPr>
        <w:t>条</w:t>
      </w:r>
      <w:r>
        <w:rPr>
          <w:rFonts w:ascii="方正仿宋_GBK" w:eastAsia="方正仿宋_GBK" w:hAnsi="华文仿宋" w:cs="Arial" w:hint="eastAsia"/>
          <w:color w:val="000000" w:themeColor="text1"/>
          <w:sz w:val="32"/>
          <w:szCs w:val="32"/>
        </w:rPr>
        <w:t xml:space="preserve">　本办法自</w:t>
      </w:r>
      <w:r w:rsidR="00994D2B">
        <w:rPr>
          <w:rFonts w:ascii="方正仿宋_GBK" w:eastAsia="方正仿宋_GBK" w:hAnsi="华文仿宋" w:cs="Arial" w:hint="eastAsia"/>
          <w:color w:val="000000" w:themeColor="text1"/>
          <w:sz w:val="32"/>
          <w:szCs w:val="32"/>
        </w:rPr>
        <w:t xml:space="preserve">　　</w:t>
      </w:r>
      <w:r>
        <w:rPr>
          <w:rFonts w:ascii="方正仿宋_GBK" w:eastAsia="方正仿宋_GBK" w:hAnsi="华文仿宋" w:cs="Arial" w:hint="eastAsia"/>
          <w:color w:val="000000" w:themeColor="text1"/>
          <w:sz w:val="32"/>
          <w:szCs w:val="32"/>
        </w:rPr>
        <w:t>年　月　日起施行。</w:t>
      </w:r>
    </w:p>
    <w:sectPr w:rsidR="003839EF" w:rsidSect="00D63D63">
      <w:footerReference w:type="even" r:id="rId9"/>
      <w:footerReference w:type="default" r:id="rId10"/>
      <w:pgSz w:w="11900" w:h="16840"/>
      <w:pgMar w:top="1814" w:right="1531" w:bottom="1985" w:left="1531" w:header="851" w:footer="992" w:gutter="0"/>
      <w:cols w:space="425"/>
      <w:docGrid w:type="lines"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39EF" w:rsidRDefault="003839EF">
      <w:r>
        <w:separator/>
      </w:r>
    </w:p>
  </w:endnote>
  <w:endnote w:type="continuationSeparator" w:id="1">
    <w:p w:rsidR="003839EF" w:rsidRDefault="003839E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华文仿宋">
    <w:altName w:val="hakuyoxingshu7000"/>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4D2B" w:rsidRDefault="00DD6B84">
    <w:pPr>
      <w:pStyle w:val="a5"/>
      <w:framePr w:wrap="around" w:vAnchor="text" w:hAnchor="margin" w:xAlign="center" w:y="1"/>
      <w:rPr>
        <w:rStyle w:val="a7"/>
      </w:rPr>
    </w:pPr>
    <w:r>
      <w:rPr>
        <w:rStyle w:val="a7"/>
      </w:rPr>
      <w:fldChar w:fldCharType="begin"/>
    </w:r>
    <w:r w:rsidR="00994D2B">
      <w:rPr>
        <w:rStyle w:val="a7"/>
      </w:rPr>
      <w:instrText xml:space="preserve">PAGE  </w:instrText>
    </w:r>
    <w:r>
      <w:rPr>
        <w:rStyle w:val="a7"/>
      </w:rPr>
      <w:fldChar w:fldCharType="end"/>
    </w:r>
  </w:p>
  <w:p w:rsidR="00994D2B" w:rsidRDefault="00994D2B">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4D2B" w:rsidRDefault="00DD6B84">
    <w:pPr>
      <w:pStyle w:val="a5"/>
      <w:framePr w:wrap="around" w:vAnchor="text" w:hAnchor="margin" w:xAlign="center" w:y="1"/>
      <w:rPr>
        <w:rStyle w:val="a7"/>
      </w:rPr>
    </w:pPr>
    <w:r>
      <w:rPr>
        <w:rStyle w:val="a7"/>
      </w:rPr>
      <w:fldChar w:fldCharType="begin"/>
    </w:r>
    <w:r w:rsidR="00994D2B">
      <w:rPr>
        <w:rStyle w:val="a7"/>
      </w:rPr>
      <w:instrText xml:space="preserve">PAGE  </w:instrText>
    </w:r>
    <w:r>
      <w:rPr>
        <w:rStyle w:val="a7"/>
      </w:rPr>
      <w:fldChar w:fldCharType="separate"/>
    </w:r>
    <w:r w:rsidR="00437C8F">
      <w:rPr>
        <w:rStyle w:val="a7"/>
        <w:noProof/>
      </w:rPr>
      <w:t>1</w:t>
    </w:r>
    <w:r>
      <w:rPr>
        <w:rStyle w:val="a7"/>
      </w:rPr>
      <w:fldChar w:fldCharType="end"/>
    </w:r>
  </w:p>
  <w:p w:rsidR="00994D2B" w:rsidRDefault="00994D2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39EF" w:rsidRDefault="003839EF">
      <w:r>
        <w:separator/>
      </w:r>
    </w:p>
  </w:footnote>
  <w:footnote w:type="continuationSeparator" w:id="1">
    <w:p w:rsidR="003839EF" w:rsidRDefault="003839E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D2D1BFB"/>
    <w:multiLevelType w:val="singleLevel"/>
    <w:tmpl w:val="5D2D1BFB"/>
    <w:lvl w:ilvl="0">
      <w:start w:val="1"/>
      <w:numFmt w:val="chineseCounting"/>
      <w:suff w:val="nothing"/>
      <w:lvlText w:val="（%1）"/>
      <w:lvlJc w:val="left"/>
    </w:lvl>
  </w:abstractNum>
  <w:abstractNum w:abstractNumId="1">
    <w:nsid w:val="796C70CD"/>
    <w:multiLevelType w:val="hybridMultilevel"/>
    <w:tmpl w:val="D580476E"/>
    <w:lvl w:ilvl="0" w:tplc="E332AD3E">
      <w:start w:val="4"/>
      <w:numFmt w:val="japaneseCounting"/>
      <w:lvlText w:val="（%1）"/>
      <w:lvlJc w:val="left"/>
      <w:pPr>
        <w:ind w:left="1720" w:hanging="1080"/>
      </w:pPr>
      <w:rPr>
        <w:rFonts w:hint="default"/>
      </w:rPr>
    </w:lvl>
    <w:lvl w:ilvl="1" w:tplc="04090019" w:tentative="1">
      <w:start w:val="1"/>
      <w:numFmt w:val="lowerLetter"/>
      <w:lvlText w:val="%2)"/>
      <w:lvlJc w:val="left"/>
      <w:pPr>
        <w:ind w:left="1600" w:hanging="480"/>
      </w:pPr>
    </w:lvl>
    <w:lvl w:ilvl="2" w:tplc="0409001B" w:tentative="1">
      <w:start w:val="1"/>
      <w:numFmt w:val="lowerRoman"/>
      <w:lvlText w:val="%3."/>
      <w:lvlJc w:val="right"/>
      <w:pPr>
        <w:ind w:left="2080" w:hanging="480"/>
      </w:pPr>
    </w:lvl>
    <w:lvl w:ilvl="3" w:tplc="0409000F" w:tentative="1">
      <w:start w:val="1"/>
      <w:numFmt w:val="decimal"/>
      <w:lvlText w:val="%4."/>
      <w:lvlJc w:val="left"/>
      <w:pPr>
        <w:ind w:left="2560" w:hanging="480"/>
      </w:pPr>
    </w:lvl>
    <w:lvl w:ilvl="4" w:tplc="04090019" w:tentative="1">
      <w:start w:val="1"/>
      <w:numFmt w:val="lowerLetter"/>
      <w:lvlText w:val="%5)"/>
      <w:lvlJc w:val="left"/>
      <w:pPr>
        <w:ind w:left="3040" w:hanging="480"/>
      </w:pPr>
    </w:lvl>
    <w:lvl w:ilvl="5" w:tplc="0409001B" w:tentative="1">
      <w:start w:val="1"/>
      <w:numFmt w:val="lowerRoman"/>
      <w:lvlText w:val="%6."/>
      <w:lvlJc w:val="right"/>
      <w:pPr>
        <w:ind w:left="3520" w:hanging="480"/>
      </w:pPr>
    </w:lvl>
    <w:lvl w:ilvl="6" w:tplc="0409000F" w:tentative="1">
      <w:start w:val="1"/>
      <w:numFmt w:val="decimal"/>
      <w:lvlText w:val="%7."/>
      <w:lvlJc w:val="left"/>
      <w:pPr>
        <w:ind w:left="4000" w:hanging="480"/>
      </w:pPr>
    </w:lvl>
    <w:lvl w:ilvl="7" w:tplc="04090019" w:tentative="1">
      <w:start w:val="1"/>
      <w:numFmt w:val="lowerLetter"/>
      <w:lvlText w:val="%8)"/>
      <w:lvlJc w:val="left"/>
      <w:pPr>
        <w:ind w:left="4480" w:hanging="480"/>
      </w:pPr>
    </w:lvl>
    <w:lvl w:ilvl="8" w:tplc="0409001B" w:tentative="1">
      <w:start w:val="1"/>
      <w:numFmt w:val="lowerRoman"/>
      <w:lvlText w:val="%9."/>
      <w:lvlJc w:val="right"/>
      <w:pPr>
        <w:ind w:left="4960" w:hanging="4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trackRevisions/>
  <w:defaultTabStop w:val="420"/>
  <w:drawingGridHorizontalSpacing w:val="120"/>
  <w:drawingGridVerticalSpacing w:val="163"/>
  <w:displayHorizontalDrawingGridEvery w:val="0"/>
  <w:displayVerticalDrawingGridEvery w:val="2"/>
  <w:characterSpacingControl w:val="compressPunctuation"/>
  <w:hdrShapeDefaults>
    <o:shapedefaults v:ext="edit" spidmax="2662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D5070"/>
    <w:rsid w:val="00000F02"/>
    <w:rsid w:val="000048DF"/>
    <w:rsid w:val="00005654"/>
    <w:rsid w:val="00005E9C"/>
    <w:rsid w:val="000064F2"/>
    <w:rsid w:val="00007ED9"/>
    <w:rsid w:val="00010226"/>
    <w:rsid w:val="00012056"/>
    <w:rsid w:val="000143D7"/>
    <w:rsid w:val="00014502"/>
    <w:rsid w:val="0001726E"/>
    <w:rsid w:val="00017A9C"/>
    <w:rsid w:val="00021B0A"/>
    <w:rsid w:val="0002371B"/>
    <w:rsid w:val="00024D02"/>
    <w:rsid w:val="00026A7B"/>
    <w:rsid w:val="00034316"/>
    <w:rsid w:val="00037085"/>
    <w:rsid w:val="0004089E"/>
    <w:rsid w:val="000415D0"/>
    <w:rsid w:val="000415DA"/>
    <w:rsid w:val="00041915"/>
    <w:rsid w:val="00044ADD"/>
    <w:rsid w:val="00045868"/>
    <w:rsid w:val="0004670B"/>
    <w:rsid w:val="000502CA"/>
    <w:rsid w:val="0005280B"/>
    <w:rsid w:val="00053348"/>
    <w:rsid w:val="000544DE"/>
    <w:rsid w:val="000620E6"/>
    <w:rsid w:val="000641EB"/>
    <w:rsid w:val="00064D87"/>
    <w:rsid w:val="0007058A"/>
    <w:rsid w:val="0007201E"/>
    <w:rsid w:val="000724B6"/>
    <w:rsid w:val="00072853"/>
    <w:rsid w:val="000731B8"/>
    <w:rsid w:val="000732FF"/>
    <w:rsid w:val="00074EDC"/>
    <w:rsid w:val="00074FE8"/>
    <w:rsid w:val="00075C85"/>
    <w:rsid w:val="00076291"/>
    <w:rsid w:val="00080DCD"/>
    <w:rsid w:val="00082D8D"/>
    <w:rsid w:val="0008323B"/>
    <w:rsid w:val="0008477D"/>
    <w:rsid w:val="00084A28"/>
    <w:rsid w:val="00086332"/>
    <w:rsid w:val="0008642A"/>
    <w:rsid w:val="00091195"/>
    <w:rsid w:val="000913C0"/>
    <w:rsid w:val="000919B2"/>
    <w:rsid w:val="00091A26"/>
    <w:rsid w:val="000928E1"/>
    <w:rsid w:val="000937D5"/>
    <w:rsid w:val="00094C98"/>
    <w:rsid w:val="000977CB"/>
    <w:rsid w:val="000A05D0"/>
    <w:rsid w:val="000A0788"/>
    <w:rsid w:val="000A0BB7"/>
    <w:rsid w:val="000A5212"/>
    <w:rsid w:val="000B1180"/>
    <w:rsid w:val="000B4B6E"/>
    <w:rsid w:val="000B6EB1"/>
    <w:rsid w:val="000C2BC0"/>
    <w:rsid w:val="000C30D2"/>
    <w:rsid w:val="000C413D"/>
    <w:rsid w:val="000C5158"/>
    <w:rsid w:val="000C547F"/>
    <w:rsid w:val="000D0F53"/>
    <w:rsid w:val="000D134D"/>
    <w:rsid w:val="000D4741"/>
    <w:rsid w:val="000D50D9"/>
    <w:rsid w:val="000D7367"/>
    <w:rsid w:val="000E0B2A"/>
    <w:rsid w:val="000E1022"/>
    <w:rsid w:val="000E22B3"/>
    <w:rsid w:val="000E23E1"/>
    <w:rsid w:val="000E6755"/>
    <w:rsid w:val="000E7A3E"/>
    <w:rsid w:val="000F2C27"/>
    <w:rsid w:val="000F6C9F"/>
    <w:rsid w:val="00101FCF"/>
    <w:rsid w:val="0010347E"/>
    <w:rsid w:val="00104507"/>
    <w:rsid w:val="00104E9D"/>
    <w:rsid w:val="0010521A"/>
    <w:rsid w:val="00105436"/>
    <w:rsid w:val="00105922"/>
    <w:rsid w:val="00106C75"/>
    <w:rsid w:val="0010703F"/>
    <w:rsid w:val="001114CE"/>
    <w:rsid w:val="00111B61"/>
    <w:rsid w:val="00115605"/>
    <w:rsid w:val="001158CA"/>
    <w:rsid w:val="001164BE"/>
    <w:rsid w:val="00116AD3"/>
    <w:rsid w:val="00117A87"/>
    <w:rsid w:val="001212E9"/>
    <w:rsid w:val="00122EA5"/>
    <w:rsid w:val="00124E2E"/>
    <w:rsid w:val="00125D78"/>
    <w:rsid w:val="001277A0"/>
    <w:rsid w:val="001278F0"/>
    <w:rsid w:val="00131822"/>
    <w:rsid w:val="00131A7F"/>
    <w:rsid w:val="001338E6"/>
    <w:rsid w:val="00134AF9"/>
    <w:rsid w:val="00136A64"/>
    <w:rsid w:val="001378A3"/>
    <w:rsid w:val="00137AED"/>
    <w:rsid w:val="00141EE3"/>
    <w:rsid w:val="00142BA9"/>
    <w:rsid w:val="00143AC3"/>
    <w:rsid w:val="00145A7E"/>
    <w:rsid w:val="00151998"/>
    <w:rsid w:val="00151C63"/>
    <w:rsid w:val="001533B8"/>
    <w:rsid w:val="0015382B"/>
    <w:rsid w:val="0015392F"/>
    <w:rsid w:val="0015791C"/>
    <w:rsid w:val="00157C8F"/>
    <w:rsid w:val="001605B9"/>
    <w:rsid w:val="0016079D"/>
    <w:rsid w:val="00162C45"/>
    <w:rsid w:val="00164686"/>
    <w:rsid w:val="00165E6C"/>
    <w:rsid w:val="001660D6"/>
    <w:rsid w:val="001661C8"/>
    <w:rsid w:val="00167101"/>
    <w:rsid w:val="00167236"/>
    <w:rsid w:val="00167695"/>
    <w:rsid w:val="00171B39"/>
    <w:rsid w:val="00171EA7"/>
    <w:rsid w:val="001727A5"/>
    <w:rsid w:val="00173178"/>
    <w:rsid w:val="00174FC9"/>
    <w:rsid w:val="00177407"/>
    <w:rsid w:val="00177583"/>
    <w:rsid w:val="0018045C"/>
    <w:rsid w:val="00181146"/>
    <w:rsid w:val="001850BD"/>
    <w:rsid w:val="00186F89"/>
    <w:rsid w:val="00187315"/>
    <w:rsid w:val="0019183C"/>
    <w:rsid w:val="00191F65"/>
    <w:rsid w:val="0019427A"/>
    <w:rsid w:val="00197247"/>
    <w:rsid w:val="001977CF"/>
    <w:rsid w:val="001A1864"/>
    <w:rsid w:val="001A28C9"/>
    <w:rsid w:val="001A314A"/>
    <w:rsid w:val="001A39A3"/>
    <w:rsid w:val="001A6F71"/>
    <w:rsid w:val="001A70A3"/>
    <w:rsid w:val="001A7E8E"/>
    <w:rsid w:val="001A7F67"/>
    <w:rsid w:val="001B78F4"/>
    <w:rsid w:val="001B7902"/>
    <w:rsid w:val="001C0F0A"/>
    <w:rsid w:val="001C119E"/>
    <w:rsid w:val="001C1E73"/>
    <w:rsid w:val="001C20EF"/>
    <w:rsid w:val="001C2E27"/>
    <w:rsid w:val="001C30D5"/>
    <w:rsid w:val="001C3333"/>
    <w:rsid w:val="001C333B"/>
    <w:rsid w:val="001C3ACA"/>
    <w:rsid w:val="001C4246"/>
    <w:rsid w:val="001C4B96"/>
    <w:rsid w:val="001C68D9"/>
    <w:rsid w:val="001C74E7"/>
    <w:rsid w:val="001D13B2"/>
    <w:rsid w:val="001D26B8"/>
    <w:rsid w:val="001D276C"/>
    <w:rsid w:val="001D2FA2"/>
    <w:rsid w:val="001D47BC"/>
    <w:rsid w:val="001D545B"/>
    <w:rsid w:val="001D5FDE"/>
    <w:rsid w:val="001D6959"/>
    <w:rsid w:val="001D6EA0"/>
    <w:rsid w:val="001E014A"/>
    <w:rsid w:val="001E0537"/>
    <w:rsid w:val="001E086D"/>
    <w:rsid w:val="001E1CED"/>
    <w:rsid w:val="001E21C4"/>
    <w:rsid w:val="001E2E1C"/>
    <w:rsid w:val="001E3540"/>
    <w:rsid w:val="001E4CD6"/>
    <w:rsid w:val="001E4F62"/>
    <w:rsid w:val="001F10B8"/>
    <w:rsid w:val="001F2898"/>
    <w:rsid w:val="001F399A"/>
    <w:rsid w:val="001F41EC"/>
    <w:rsid w:val="001F4777"/>
    <w:rsid w:val="001F4B7A"/>
    <w:rsid w:val="001F54AD"/>
    <w:rsid w:val="001F61BA"/>
    <w:rsid w:val="001F654A"/>
    <w:rsid w:val="00201278"/>
    <w:rsid w:val="00201853"/>
    <w:rsid w:val="00203966"/>
    <w:rsid w:val="00204EBE"/>
    <w:rsid w:val="00206A9E"/>
    <w:rsid w:val="002133A8"/>
    <w:rsid w:val="002146DC"/>
    <w:rsid w:val="00214713"/>
    <w:rsid w:val="002147F4"/>
    <w:rsid w:val="00214932"/>
    <w:rsid w:val="0021722A"/>
    <w:rsid w:val="00217808"/>
    <w:rsid w:val="00222411"/>
    <w:rsid w:val="002228E1"/>
    <w:rsid w:val="00222A86"/>
    <w:rsid w:val="00223DB0"/>
    <w:rsid w:val="00224E54"/>
    <w:rsid w:val="00225B34"/>
    <w:rsid w:val="00233F50"/>
    <w:rsid w:val="0024110F"/>
    <w:rsid w:val="00243CC8"/>
    <w:rsid w:val="00244223"/>
    <w:rsid w:val="002505B6"/>
    <w:rsid w:val="002507CD"/>
    <w:rsid w:val="00255913"/>
    <w:rsid w:val="0025676D"/>
    <w:rsid w:val="002571A3"/>
    <w:rsid w:val="00261616"/>
    <w:rsid w:val="0026195F"/>
    <w:rsid w:val="0026381E"/>
    <w:rsid w:val="0026492C"/>
    <w:rsid w:val="00265962"/>
    <w:rsid w:val="0026719A"/>
    <w:rsid w:val="00267580"/>
    <w:rsid w:val="002679B3"/>
    <w:rsid w:val="00270ACB"/>
    <w:rsid w:val="002711A8"/>
    <w:rsid w:val="00271369"/>
    <w:rsid w:val="00272F0F"/>
    <w:rsid w:val="002733B8"/>
    <w:rsid w:val="002736F0"/>
    <w:rsid w:val="0027402C"/>
    <w:rsid w:val="0027569C"/>
    <w:rsid w:val="00275A73"/>
    <w:rsid w:val="00277DD3"/>
    <w:rsid w:val="00277FEF"/>
    <w:rsid w:val="00281A68"/>
    <w:rsid w:val="002861A1"/>
    <w:rsid w:val="00290A25"/>
    <w:rsid w:val="0029168D"/>
    <w:rsid w:val="00291EC8"/>
    <w:rsid w:val="00291FE6"/>
    <w:rsid w:val="0029367F"/>
    <w:rsid w:val="00294D57"/>
    <w:rsid w:val="0029702C"/>
    <w:rsid w:val="002A35B2"/>
    <w:rsid w:val="002A365B"/>
    <w:rsid w:val="002A6352"/>
    <w:rsid w:val="002A6474"/>
    <w:rsid w:val="002A6DE8"/>
    <w:rsid w:val="002A7376"/>
    <w:rsid w:val="002B0FBF"/>
    <w:rsid w:val="002B5D41"/>
    <w:rsid w:val="002B7AB4"/>
    <w:rsid w:val="002C0571"/>
    <w:rsid w:val="002C353B"/>
    <w:rsid w:val="002C3843"/>
    <w:rsid w:val="002C6E8C"/>
    <w:rsid w:val="002D1C64"/>
    <w:rsid w:val="002D2DA7"/>
    <w:rsid w:val="002D2E10"/>
    <w:rsid w:val="002D34F2"/>
    <w:rsid w:val="002D3511"/>
    <w:rsid w:val="002D3EA3"/>
    <w:rsid w:val="002D5CD5"/>
    <w:rsid w:val="002D5DD8"/>
    <w:rsid w:val="002D682F"/>
    <w:rsid w:val="002D7578"/>
    <w:rsid w:val="002D7BA3"/>
    <w:rsid w:val="002E170A"/>
    <w:rsid w:val="002E1B2D"/>
    <w:rsid w:val="002E1C1B"/>
    <w:rsid w:val="002E2478"/>
    <w:rsid w:val="002E4FF2"/>
    <w:rsid w:val="002E7BC3"/>
    <w:rsid w:val="002F0198"/>
    <w:rsid w:val="002F0AEA"/>
    <w:rsid w:val="002F19B2"/>
    <w:rsid w:val="002F37C0"/>
    <w:rsid w:val="002F49B2"/>
    <w:rsid w:val="002F64C0"/>
    <w:rsid w:val="002F652B"/>
    <w:rsid w:val="002F6C28"/>
    <w:rsid w:val="002F70E3"/>
    <w:rsid w:val="00301907"/>
    <w:rsid w:val="00303D9E"/>
    <w:rsid w:val="0031061B"/>
    <w:rsid w:val="00310B95"/>
    <w:rsid w:val="00312473"/>
    <w:rsid w:val="003145B9"/>
    <w:rsid w:val="00315573"/>
    <w:rsid w:val="00316029"/>
    <w:rsid w:val="003215DB"/>
    <w:rsid w:val="00326A28"/>
    <w:rsid w:val="00326FD3"/>
    <w:rsid w:val="00327310"/>
    <w:rsid w:val="0033136E"/>
    <w:rsid w:val="00331547"/>
    <w:rsid w:val="00332E70"/>
    <w:rsid w:val="003407F3"/>
    <w:rsid w:val="00341399"/>
    <w:rsid w:val="00343B63"/>
    <w:rsid w:val="00344DB6"/>
    <w:rsid w:val="00345661"/>
    <w:rsid w:val="003461F1"/>
    <w:rsid w:val="00353F19"/>
    <w:rsid w:val="003549AA"/>
    <w:rsid w:val="00354F21"/>
    <w:rsid w:val="0035553C"/>
    <w:rsid w:val="00356B45"/>
    <w:rsid w:val="00360BA3"/>
    <w:rsid w:val="00361A82"/>
    <w:rsid w:val="00362450"/>
    <w:rsid w:val="003635EE"/>
    <w:rsid w:val="003646DC"/>
    <w:rsid w:val="003647DC"/>
    <w:rsid w:val="0036534C"/>
    <w:rsid w:val="003675D7"/>
    <w:rsid w:val="00370EAF"/>
    <w:rsid w:val="00371839"/>
    <w:rsid w:val="00371A40"/>
    <w:rsid w:val="00371D4C"/>
    <w:rsid w:val="003727CD"/>
    <w:rsid w:val="003728B9"/>
    <w:rsid w:val="00372D63"/>
    <w:rsid w:val="00373215"/>
    <w:rsid w:val="00374265"/>
    <w:rsid w:val="00380BFB"/>
    <w:rsid w:val="00381E1C"/>
    <w:rsid w:val="003830FE"/>
    <w:rsid w:val="003839EF"/>
    <w:rsid w:val="003840CE"/>
    <w:rsid w:val="00385CDA"/>
    <w:rsid w:val="00385EAB"/>
    <w:rsid w:val="0038636D"/>
    <w:rsid w:val="00386A30"/>
    <w:rsid w:val="00386AFA"/>
    <w:rsid w:val="00391103"/>
    <w:rsid w:val="0039126E"/>
    <w:rsid w:val="00392039"/>
    <w:rsid w:val="00395B06"/>
    <w:rsid w:val="00396324"/>
    <w:rsid w:val="003A1F07"/>
    <w:rsid w:val="003A22D1"/>
    <w:rsid w:val="003A274E"/>
    <w:rsid w:val="003A42E8"/>
    <w:rsid w:val="003A7709"/>
    <w:rsid w:val="003B0C4E"/>
    <w:rsid w:val="003B2990"/>
    <w:rsid w:val="003B3596"/>
    <w:rsid w:val="003B41E1"/>
    <w:rsid w:val="003B6A60"/>
    <w:rsid w:val="003C0C75"/>
    <w:rsid w:val="003C1133"/>
    <w:rsid w:val="003C18E7"/>
    <w:rsid w:val="003C4014"/>
    <w:rsid w:val="003C779B"/>
    <w:rsid w:val="003C78A4"/>
    <w:rsid w:val="003D1FE3"/>
    <w:rsid w:val="003D3111"/>
    <w:rsid w:val="003D3D54"/>
    <w:rsid w:val="003D587C"/>
    <w:rsid w:val="003D58EF"/>
    <w:rsid w:val="003D63C0"/>
    <w:rsid w:val="003D688B"/>
    <w:rsid w:val="003D7579"/>
    <w:rsid w:val="003D76FC"/>
    <w:rsid w:val="003D7D7C"/>
    <w:rsid w:val="003E00EB"/>
    <w:rsid w:val="003E08BC"/>
    <w:rsid w:val="003E0EF2"/>
    <w:rsid w:val="003E22E5"/>
    <w:rsid w:val="003E494B"/>
    <w:rsid w:val="003E4FDA"/>
    <w:rsid w:val="003E690E"/>
    <w:rsid w:val="003E692E"/>
    <w:rsid w:val="003E6E95"/>
    <w:rsid w:val="003E72B0"/>
    <w:rsid w:val="003E7DE7"/>
    <w:rsid w:val="003F0FD1"/>
    <w:rsid w:val="003F2637"/>
    <w:rsid w:val="003F4869"/>
    <w:rsid w:val="0040096E"/>
    <w:rsid w:val="00406136"/>
    <w:rsid w:val="00406C48"/>
    <w:rsid w:val="00406F10"/>
    <w:rsid w:val="00407138"/>
    <w:rsid w:val="0040798D"/>
    <w:rsid w:val="00411195"/>
    <w:rsid w:val="00412706"/>
    <w:rsid w:val="00412A18"/>
    <w:rsid w:val="0041384F"/>
    <w:rsid w:val="00414E8B"/>
    <w:rsid w:val="00415BDD"/>
    <w:rsid w:val="00416FA7"/>
    <w:rsid w:val="004200AB"/>
    <w:rsid w:val="00423F5E"/>
    <w:rsid w:val="004260B3"/>
    <w:rsid w:val="00427A0C"/>
    <w:rsid w:val="00427CA5"/>
    <w:rsid w:val="0043135D"/>
    <w:rsid w:val="00431A68"/>
    <w:rsid w:val="00432C7C"/>
    <w:rsid w:val="00432C84"/>
    <w:rsid w:val="004363C5"/>
    <w:rsid w:val="00436F4A"/>
    <w:rsid w:val="00437568"/>
    <w:rsid w:val="00437C8F"/>
    <w:rsid w:val="0044054E"/>
    <w:rsid w:val="004428F5"/>
    <w:rsid w:val="00442AFC"/>
    <w:rsid w:val="0044370A"/>
    <w:rsid w:val="00443E64"/>
    <w:rsid w:val="00444BE8"/>
    <w:rsid w:val="004475B2"/>
    <w:rsid w:val="00447FF8"/>
    <w:rsid w:val="00451373"/>
    <w:rsid w:val="004540DF"/>
    <w:rsid w:val="0045489F"/>
    <w:rsid w:val="00460F56"/>
    <w:rsid w:val="00462C1B"/>
    <w:rsid w:val="00466672"/>
    <w:rsid w:val="00467048"/>
    <w:rsid w:val="004670C4"/>
    <w:rsid w:val="00467273"/>
    <w:rsid w:val="00467C44"/>
    <w:rsid w:val="0047064B"/>
    <w:rsid w:val="00472609"/>
    <w:rsid w:val="00472C3C"/>
    <w:rsid w:val="004764E3"/>
    <w:rsid w:val="00480709"/>
    <w:rsid w:val="00481311"/>
    <w:rsid w:val="00481ACD"/>
    <w:rsid w:val="00481B1F"/>
    <w:rsid w:val="0048316B"/>
    <w:rsid w:val="004847B8"/>
    <w:rsid w:val="00486A46"/>
    <w:rsid w:val="004910F8"/>
    <w:rsid w:val="00493A06"/>
    <w:rsid w:val="00495261"/>
    <w:rsid w:val="004958D0"/>
    <w:rsid w:val="0049734C"/>
    <w:rsid w:val="00497E17"/>
    <w:rsid w:val="004A017F"/>
    <w:rsid w:val="004A0C00"/>
    <w:rsid w:val="004A1CA7"/>
    <w:rsid w:val="004A3A89"/>
    <w:rsid w:val="004A3D45"/>
    <w:rsid w:val="004A5546"/>
    <w:rsid w:val="004A6374"/>
    <w:rsid w:val="004A6848"/>
    <w:rsid w:val="004A6905"/>
    <w:rsid w:val="004A6DFA"/>
    <w:rsid w:val="004B0A42"/>
    <w:rsid w:val="004B2FE3"/>
    <w:rsid w:val="004B361C"/>
    <w:rsid w:val="004B385B"/>
    <w:rsid w:val="004B3B7B"/>
    <w:rsid w:val="004B4A95"/>
    <w:rsid w:val="004B4E5E"/>
    <w:rsid w:val="004C0C43"/>
    <w:rsid w:val="004C1041"/>
    <w:rsid w:val="004C1AAB"/>
    <w:rsid w:val="004C2E7F"/>
    <w:rsid w:val="004C31DE"/>
    <w:rsid w:val="004C3FA0"/>
    <w:rsid w:val="004C4FF6"/>
    <w:rsid w:val="004C5A1D"/>
    <w:rsid w:val="004C7B9D"/>
    <w:rsid w:val="004D2B86"/>
    <w:rsid w:val="004D3978"/>
    <w:rsid w:val="004E1480"/>
    <w:rsid w:val="004E1548"/>
    <w:rsid w:val="004E23A5"/>
    <w:rsid w:val="004E2ADC"/>
    <w:rsid w:val="004E3D97"/>
    <w:rsid w:val="004E4E88"/>
    <w:rsid w:val="004E5B3E"/>
    <w:rsid w:val="004E71EC"/>
    <w:rsid w:val="004F1ADF"/>
    <w:rsid w:val="004F2130"/>
    <w:rsid w:val="004F3A94"/>
    <w:rsid w:val="004F4239"/>
    <w:rsid w:val="004F4316"/>
    <w:rsid w:val="004F5496"/>
    <w:rsid w:val="004F6F29"/>
    <w:rsid w:val="004F7B2B"/>
    <w:rsid w:val="004F7EBE"/>
    <w:rsid w:val="00501A86"/>
    <w:rsid w:val="00505B25"/>
    <w:rsid w:val="005061C2"/>
    <w:rsid w:val="00506C0A"/>
    <w:rsid w:val="005070B0"/>
    <w:rsid w:val="0050761A"/>
    <w:rsid w:val="00507DE4"/>
    <w:rsid w:val="005162DA"/>
    <w:rsid w:val="0051782E"/>
    <w:rsid w:val="00517F60"/>
    <w:rsid w:val="00522D42"/>
    <w:rsid w:val="005254E2"/>
    <w:rsid w:val="005256E2"/>
    <w:rsid w:val="00526B8D"/>
    <w:rsid w:val="00526C18"/>
    <w:rsid w:val="00527C3E"/>
    <w:rsid w:val="00530731"/>
    <w:rsid w:val="005311F8"/>
    <w:rsid w:val="00534C57"/>
    <w:rsid w:val="00535CD8"/>
    <w:rsid w:val="0053613F"/>
    <w:rsid w:val="005362E2"/>
    <w:rsid w:val="00537575"/>
    <w:rsid w:val="005404C5"/>
    <w:rsid w:val="00540F59"/>
    <w:rsid w:val="00541024"/>
    <w:rsid w:val="00541B7E"/>
    <w:rsid w:val="0054373B"/>
    <w:rsid w:val="00543B2B"/>
    <w:rsid w:val="00543FA1"/>
    <w:rsid w:val="00544EB7"/>
    <w:rsid w:val="005467C2"/>
    <w:rsid w:val="0054731C"/>
    <w:rsid w:val="005473EC"/>
    <w:rsid w:val="0054742B"/>
    <w:rsid w:val="00547C5B"/>
    <w:rsid w:val="00550609"/>
    <w:rsid w:val="005516F3"/>
    <w:rsid w:val="00551F7D"/>
    <w:rsid w:val="00552070"/>
    <w:rsid w:val="00552C53"/>
    <w:rsid w:val="0055563A"/>
    <w:rsid w:val="00557343"/>
    <w:rsid w:val="00561FBD"/>
    <w:rsid w:val="005650F7"/>
    <w:rsid w:val="005659A0"/>
    <w:rsid w:val="00566C51"/>
    <w:rsid w:val="005672AF"/>
    <w:rsid w:val="00570338"/>
    <w:rsid w:val="00570821"/>
    <w:rsid w:val="0057082A"/>
    <w:rsid w:val="0057216F"/>
    <w:rsid w:val="00572211"/>
    <w:rsid w:val="0057449E"/>
    <w:rsid w:val="005755FA"/>
    <w:rsid w:val="0057755C"/>
    <w:rsid w:val="00577F2B"/>
    <w:rsid w:val="005827D9"/>
    <w:rsid w:val="00582FD4"/>
    <w:rsid w:val="00585790"/>
    <w:rsid w:val="005857CE"/>
    <w:rsid w:val="00586A9E"/>
    <w:rsid w:val="00587600"/>
    <w:rsid w:val="00592643"/>
    <w:rsid w:val="00594E82"/>
    <w:rsid w:val="00595052"/>
    <w:rsid w:val="005952D6"/>
    <w:rsid w:val="00596C96"/>
    <w:rsid w:val="00596EFF"/>
    <w:rsid w:val="005A252C"/>
    <w:rsid w:val="005A57C6"/>
    <w:rsid w:val="005A75FC"/>
    <w:rsid w:val="005B006D"/>
    <w:rsid w:val="005B2FE8"/>
    <w:rsid w:val="005B3CA4"/>
    <w:rsid w:val="005B46DA"/>
    <w:rsid w:val="005C090F"/>
    <w:rsid w:val="005C204F"/>
    <w:rsid w:val="005C3906"/>
    <w:rsid w:val="005C4DC3"/>
    <w:rsid w:val="005C625B"/>
    <w:rsid w:val="005D13DB"/>
    <w:rsid w:val="005D5AB4"/>
    <w:rsid w:val="005D737A"/>
    <w:rsid w:val="005E3AE2"/>
    <w:rsid w:val="005E3D33"/>
    <w:rsid w:val="005E5BFF"/>
    <w:rsid w:val="005E7A7F"/>
    <w:rsid w:val="005F0031"/>
    <w:rsid w:val="005F0457"/>
    <w:rsid w:val="005F1ACC"/>
    <w:rsid w:val="005F222C"/>
    <w:rsid w:val="005F2425"/>
    <w:rsid w:val="005F33A2"/>
    <w:rsid w:val="005F595D"/>
    <w:rsid w:val="005F5979"/>
    <w:rsid w:val="005F651B"/>
    <w:rsid w:val="005F65D9"/>
    <w:rsid w:val="005F6C22"/>
    <w:rsid w:val="006000D3"/>
    <w:rsid w:val="00601ACD"/>
    <w:rsid w:val="00601DB5"/>
    <w:rsid w:val="006022F4"/>
    <w:rsid w:val="00603186"/>
    <w:rsid w:val="00603D5E"/>
    <w:rsid w:val="006050DA"/>
    <w:rsid w:val="006057D7"/>
    <w:rsid w:val="006075BA"/>
    <w:rsid w:val="006077B0"/>
    <w:rsid w:val="00607B4A"/>
    <w:rsid w:val="00610302"/>
    <w:rsid w:val="00611549"/>
    <w:rsid w:val="00612FB4"/>
    <w:rsid w:val="0061483B"/>
    <w:rsid w:val="00615487"/>
    <w:rsid w:val="00621A45"/>
    <w:rsid w:val="00623027"/>
    <w:rsid w:val="006247A6"/>
    <w:rsid w:val="00625A2B"/>
    <w:rsid w:val="006264AC"/>
    <w:rsid w:val="006275C9"/>
    <w:rsid w:val="0062788D"/>
    <w:rsid w:val="00632C88"/>
    <w:rsid w:val="00633939"/>
    <w:rsid w:val="00635EF8"/>
    <w:rsid w:val="00637298"/>
    <w:rsid w:val="006421F8"/>
    <w:rsid w:val="00643263"/>
    <w:rsid w:val="00643332"/>
    <w:rsid w:val="0065168B"/>
    <w:rsid w:val="00652253"/>
    <w:rsid w:val="00653677"/>
    <w:rsid w:val="00655BDC"/>
    <w:rsid w:val="00656B14"/>
    <w:rsid w:val="00660D9F"/>
    <w:rsid w:val="0066317F"/>
    <w:rsid w:val="0066431A"/>
    <w:rsid w:val="00671AF3"/>
    <w:rsid w:val="00672385"/>
    <w:rsid w:val="00673DC9"/>
    <w:rsid w:val="00674C9F"/>
    <w:rsid w:val="00675A79"/>
    <w:rsid w:val="00675B45"/>
    <w:rsid w:val="006806CA"/>
    <w:rsid w:val="00685339"/>
    <w:rsid w:val="00685720"/>
    <w:rsid w:val="0068624A"/>
    <w:rsid w:val="00686C43"/>
    <w:rsid w:val="00694074"/>
    <w:rsid w:val="00696A45"/>
    <w:rsid w:val="00696BE6"/>
    <w:rsid w:val="0069710B"/>
    <w:rsid w:val="0069731A"/>
    <w:rsid w:val="006A0072"/>
    <w:rsid w:val="006A00CB"/>
    <w:rsid w:val="006A1476"/>
    <w:rsid w:val="006A194E"/>
    <w:rsid w:val="006A1A1D"/>
    <w:rsid w:val="006A2EEE"/>
    <w:rsid w:val="006A4007"/>
    <w:rsid w:val="006A4603"/>
    <w:rsid w:val="006A4716"/>
    <w:rsid w:val="006A4CEC"/>
    <w:rsid w:val="006A6AE0"/>
    <w:rsid w:val="006A76E3"/>
    <w:rsid w:val="006B0D3B"/>
    <w:rsid w:val="006B1AEE"/>
    <w:rsid w:val="006B3AA7"/>
    <w:rsid w:val="006B3FD1"/>
    <w:rsid w:val="006B4553"/>
    <w:rsid w:val="006B5935"/>
    <w:rsid w:val="006B6296"/>
    <w:rsid w:val="006B654D"/>
    <w:rsid w:val="006B67EF"/>
    <w:rsid w:val="006B6E64"/>
    <w:rsid w:val="006B7B6E"/>
    <w:rsid w:val="006C14A6"/>
    <w:rsid w:val="006C3926"/>
    <w:rsid w:val="006C5AD2"/>
    <w:rsid w:val="006C7710"/>
    <w:rsid w:val="006C7F36"/>
    <w:rsid w:val="006D12AE"/>
    <w:rsid w:val="006D192C"/>
    <w:rsid w:val="006D4E76"/>
    <w:rsid w:val="006E27E5"/>
    <w:rsid w:val="006E3558"/>
    <w:rsid w:val="006E3A54"/>
    <w:rsid w:val="006F21E8"/>
    <w:rsid w:val="006F2AEB"/>
    <w:rsid w:val="006F41D3"/>
    <w:rsid w:val="006F508A"/>
    <w:rsid w:val="006F54E4"/>
    <w:rsid w:val="006F5708"/>
    <w:rsid w:val="006F6550"/>
    <w:rsid w:val="00700433"/>
    <w:rsid w:val="00701FD7"/>
    <w:rsid w:val="007027FA"/>
    <w:rsid w:val="00703FBD"/>
    <w:rsid w:val="00705908"/>
    <w:rsid w:val="00707DAB"/>
    <w:rsid w:val="00711A90"/>
    <w:rsid w:val="00711CAE"/>
    <w:rsid w:val="00712EBC"/>
    <w:rsid w:val="00713E5E"/>
    <w:rsid w:val="00713EFF"/>
    <w:rsid w:val="0071429C"/>
    <w:rsid w:val="00720C71"/>
    <w:rsid w:val="00722BDC"/>
    <w:rsid w:val="00722EB4"/>
    <w:rsid w:val="00722F9B"/>
    <w:rsid w:val="00723386"/>
    <w:rsid w:val="007245D8"/>
    <w:rsid w:val="007246BB"/>
    <w:rsid w:val="00726139"/>
    <w:rsid w:val="00731F17"/>
    <w:rsid w:val="00731F33"/>
    <w:rsid w:val="0073239C"/>
    <w:rsid w:val="00735984"/>
    <w:rsid w:val="007364EA"/>
    <w:rsid w:val="00736E14"/>
    <w:rsid w:val="007371DD"/>
    <w:rsid w:val="007409B9"/>
    <w:rsid w:val="00741B1F"/>
    <w:rsid w:val="00743B08"/>
    <w:rsid w:val="00746596"/>
    <w:rsid w:val="00752601"/>
    <w:rsid w:val="0075269E"/>
    <w:rsid w:val="00752B64"/>
    <w:rsid w:val="00752D7E"/>
    <w:rsid w:val="00753A8B"/>
    <w:rsid w:val="007546B6"/>
    <w:rsid w:val="00754C1B"/>
    <w:rsid w:val="00755255"/>
    <w:rsid w:val="00760F8D"/>
    <w:rsid w:val="00761E2E"/>
    <w:rsid w:val="007621F7"/>
    <w:rsid w:val="00762EA1"/>
    <w:rsid w:val="007669A1"/>
    <w:rsid w:val="00767D72"/>
    <w:rsid w:val="0077137B"/>
    <w:rsid w:val="0077357C"/>
    <w:rsid w:val="0077398E"/>
    <w:rsid w:val="00774671"/>
    <w:rsid w:val="00775F10"/>
    <w:rsid w:val="00776A14"/>
    <w:rsid w:val="00780FEF"/>
    <w:rsid w:val="0078130A"/>
    <w:rsid w:val="0078183B"/>
    <w:rsid w:val="00781CA2"/>
    <w:rsid w:val="007823C4"/>
    <w:rsid w:val="00782E88"/>
    <w:rsid w:val="00786081"/>
    <w:rsid w:val="00787124"/>
    <w:rsid w:val="0079160C"/>
    <w:rsid w:val="00792AA1"/>
    <w:rsid w:val="007A2166"/>
    <w:rsid w:val="007A31DF"/>
    <w:rsid w:val="007A52E0"/>
    <w:rsid w:val="007A5972"/>
    <w:rsid w:val="007A7DD8"/>
    <w:rsid w:val="007B0808"/>
    <w:rsid w:val="007B2D61"/>
    <w:rsid w:val="007B333A"/>
    <w:rsid w:val="007B338F"/>
    <w:rsid w:val="007B35E3"/>
    <w:rsid w:val="007B73FC"/>
    <w:rsid w:val="007C0391"/>
    <w:rsid w:val="007C0410"/>
    <w:rsid w:val="007C0664"/>
    <w:rsid w:val="007C1C1A"/>
    <w:rsid w:val="007C1DBE"/>
    <w:rsid w:val="007C423E"/>
    <w:rsid w:val="007C55FA"/>
    <w:rsid w:val="007C5613"/>
    <w:rsid w:val="007C60B9"/>
    <w:rsid w:val="007D023F"/>
    <w:rsid w:val="007D0C68"/>
    <w:rsid w:val="007D4442"/>
    <w:rsid w:val="007D5034"/>
    <w:rsid w:val="007D6FCF"/>
    <w:rsid w:val="007D7645"/>
    <w:rsid w:val="007E0E9D"/>
    <w:rsid w:val="007F68B3"/>
    <w:rsid w:val="007F7636"/>
    <w:rsid w:val="008038D5"/>
    <w:rsid w:val="008042C5"/>
    <w:rsid w:val="008048BD"/>
    <w:rsid w:val="00804B73"/>
    <w:rsid w:val="00805249"/>
    <w:rsid w:val="008060A0"/>
    <w:rsid w:val="00806C70"/>
    <w:rsid w:val="00810140"/>
    <w:rsid w:val="0081042D"/>
    <w:rsid w:val="008120A1"/>
    <w:rsid w:val="008142F5"/>
    <w:rsid w:val="00815C95"/>
    <w:rsid w:val="0081630A"/>
    <w:rsid w:val="0081697F"/>
    <w:rsid w:val="00816BDD"/>
    <w:rsid w:val="00816DE6"/>
    <w:rsid w:val="00817093"/>
    <w:rsid w:val="00822936"/>
    <w:rsid w:val="0082318D"/>
    <w:rsid w:val="00824A65"/>
    <w:rsid w:val="008250DA"/>
    <w:rsid w:val="00830D4F"/>
    <w:rsid w:val="0083191E"/>
    <w:rsid w:val="00833702"/>
    <w:rsid w:val="00834F87"/>
    <w:rsid w:val="0083630E"/>
    <w:rsid w:val="00840F17"/>
    <w:rsid w:val="008417C4"/>
    <w:rsid w:val="008422B8"/>
    <w:rsid w:val="00843731"/>
    <w:rsid w:val="008440C4"/>
    <w:rsid w:val="00845633"/>
    <w:rsid w:val="008478AA"/>
    <w:rsid w:val="00847B88"/>
    <w:rsid w:val="00851223"/>
    <w:rsid w:val="00853624"/>
    <w:rsid w:val="0085369E"/>
    <w:rsid w:val="00854BA8"/>
    <w:rsid w:val="0085577A"/>
    <w:rsid w:val="00855E90"/>
    <w:rsid w:val="00855F17"/>
    <w:rsid w:val="00857A66"/>
    <w:rsid w:val="00857C2E"/>
    <w:rsid w:val="00860329"/>
    <w:rsid w:val="008624F3"/>
    <w:rsid w:val="00864675"/>
    <w:rsid w:val="00870B62"/>
    <w:rsid w:val="00871A94"/>
    <w:rsid w:val="00874A69"/>
    <w:rsid w:val="008753B9"/>
    <w:rsid w:val="00876CBD"/>
    <w:rsid w:val="0087705F"/>
    <w:rsid w:val="00877167"/>
    <w:rsid w:val="008771DB"/>
    <w:rsid w:val="008809B3"/>
    <w:rsid w:val="00883372"/>
    <w:rsid w:val="008839F1"/>
    <w:rsid w:val="00885507"/>
    <w:rsid w:val="00885C5C"/>
    <w:rsid w:val="008862B5"/>
    <w:rsid w:val="00886473"/>
    <w:rsid w:val="008900AA"/>
    <w:rsid w:val="0089148E"/>
    <w:rsid w:val="00891ADC"/>
    <w:rsid w:val="0089380D"/>
    <w:rsid w:val="00893A06"/>
    <w:rsid w:val="0089618C"/>
    <w:rsid w:val="00897227"/>
    <w:rsid w:val="008A0D8B"/>
    <w:rsid w:val="008A244D"/>
    <w:rsid w:val="008A313C"/>
    <w:rsid w:val="008A3C2F"/>
    <w:rsid w:val="008A48DF"/>
    <w:rsid w:val="008B0D69"/>
    <w:rsid w:val="008B0E30"/>
    <w:rsid w:val="008B506D"/>
    <w:rsid w:val="008B54B7"/>
    <w:rsid w:val="008B62BC"/>
    <w:rsid w:val="008B7FC5"/>
    <w:rsid w:val="008C01F1"/>
    <w:rsid w:val="008C1DA4"/>
    <w:rsid w:val="008C550E"/>
    <w:rsid w:val="008C682E"/>
    <w:rsid w:val="008D18ED"/>
    <w:rsid w:val="008D2B63"/>
    <w:rsid w:val="008D2C1C"/>
    <w:rsid w:val="008D5468"/>
    <w:rsid w:val="008D61D3"/>
    <w:rsid w:val="008D62FE"/>
    <w:rsid w:val="008E04C2"/>
    <w:rsid w:val="008E1518"/>
    <w:rsid w:val="008E1C0F"/>
    <w:rsid w:val="008E351C"/>
    <w:rsid w:val="008E5FC5"/>
    <w:rsid w:val="008E6480"/>
    <w:rsid w:val="008E6DE7"/>
    <w:rsid w:val="008E76D0"/>
    <w:rsid w:val="008E7A85"/>
    <w:rsid w:val="008F2288"/>
    <w:rsid w:val="008F2CD5"/>
    <w:rsid w:val="008F35E8"/>
    <w:rsid w:val="008F3D17"/>
    <w:rsid w:val="008F4789"/>
    <w:rsid w:val="008F576E"/>
    <w:rsid w:val="008F58F5"/>
    <w:rsid w:val="008F69E8"/>
    <w:rsid w:val="00900C1E"/>
    <w:rsid w:val="00903A62"/>
    <w:rsid w:val="00903A71"/>
    <w:rsid w:val="00904ACA"/>
    <w:rsid w:val="0090534A"/>
    <w:rsid w:val="00905E44"/>
    <w:rsid w:val="00906B95"/>
    <w:rsid w:val="00910B2D"/>
    <w:rsid w:val="009110C2"/>
    <w:rsid w:val="00913602"/>
    <w:rsid w:val="009145A2"/>
    <w:rsid w:val="00914924"/>
    <w:rsid w:val="00915975"/>
    <w:rsid w:val="00916799"/>
    <w:rsid w:val="009223CC"/>
    <w:rsid w:val="00923E51"/>
    <w:rsid w:val="009251DD"/>
    <w:rsid w:val="00925465"/>
    <w:rsid w:val="009259C6"/>
    <w:rsid w:val="00925F59"/>
    <w:rsid w:val="009267FA"/>
    <w:rsid w:val="00932B77"/>
    <w:rsid w:val="00933C18"/>
    <w:rsid w:val="00933D33"/>
    <w:rsid w:val="009344BD"/>
    <w:rsid w:val="009404FD"/>
    <w:rsid w:val="00941717"/>
    <w:rsid w:val="0094343D"/>
    <w:rsid w:val="00943B1D"/>
    <w:rsid w:val="0094417B"/>
    <w:rsid w:val="009447DB"/>
    <w:rsid w:val="009501D2"/>
    <w:rsid w:val="00951B5E"/>
    <w:rsid w:val="00953DFC"/>
    <w:rsid w:val="009544DF"/>
    <w:rsid w:val="00954E2E"/>
    <w:rsid w:val="00956F8D"/>
    <w:rsid w:val="00957063"/>
    <w:rsid w:val="009574C9"/>
    <w:rsid w:val="00957F51"/>
    <w:rsid w:val="00961166"/>
    <w:rsid w:val="009615E3"/>
    <w:rsid w:val="00961ADB"/>
    <w:rsid w:val="00962AB3"/>
    <w:rsid w:val="00964CED"/>
    <w:rsid w:val="009651CF"/>
    <w:rsid w:val="00965321"/>
    <w:rsid w:val="00967DA6"/>
    <w:rsid w:val="00967DA8"/>
    <w:rsid w:val="0097041A"/>
    <w:rsid w:val="0097543E"/>
    <w:rsid w:val="00975976"/>
    <w:rsid w:val="0097605A"/>
    <w:rsid w:val="00976DE6"/>
    <w:rsid w:val="0098000F"/>
    <w:rsid w:val="00984FA7"/>
    <w:rsid w:val="0098713A"/>
    <w:rsid w:val="00987983"/>
    <w:rsid w:val="00990630"/>
    <w:rsid w:val="0099146F"/>
    <w:rsid w:val="00992B20"/>
    <w:rsid w:val="00992D96"/>
    <w:rsid w:val="00994D2B"/>
    <w:rsid w:val="00995B4F"/>
    <w:rsid w:val="009A18FC"/>
    <w:rsid w:val="009A3808"/>
    <w:rsid w:val="009A3999"/>
    <w:rsid w:val="009A4396"/>
    <w:rsid w:val="009A4464"/>
    <w:rsid w:val="009A6BB6"/>
    <w:rsid w:val="009A6F88"/>
    <w:rsid w:val="009B0009"/>
    <w:rsid w:val="009B0928"/>
    <w:rsid w:val="009B129E"/>
    <w:rsid w:val="009B1EA7"/>
    <w:rsid w:val="009B32DC"/>
    <w:rsid w:val="009B5491"/>
    <w:rsid w:val="009B5828"/>
    <w:rsid w:val="009B5D71"/>
    <w:rsid w:val="009B7072"/>
    <w:rsid w:val="009C114E"/>
    <w:rsid w:val="009C1892"/>
    <w:rsid w:val="009C3166"/>
    <w:rsid w:val="009C6123"/>
    <w:rsid w:val="009C7B5E"/>
    <w:rsid w:val="009C7C22"/>
    <w:rsid w:val="009C7D0F"/>
    <w:rsid w:val="009D007A"/>
    <w:rsid w:val="009D01EA"/>
    <w:rsid w:val="009D213A"/>
    <w:rsid w:val="009D26E4"/>
    <w:rsid w:val="009D4A40"/>
    <w:rsid w:val="009D66F6"/>
    <w:rsid w:val="009D6C4C"/>
    <w:rsid w:val="009D6CA7"/>
    <w:rsid w:val="009E06CA"/>
    <w:rsid w:val="009E3FB6"/>
    <w:rsid w:val="009E52C8"/>
    <w:rsid w:val="009F152C"/>
    <w:rsid w:val="009F1E20"/>
    <w:rsid w:val="009F21FB"/>
    <w:rsid w:val="009F2634"/>
    <w:rsid w:val="009F2D6B"/>
    <w:rsid w:val="009F333C"/>
    <w:rsid w:val="009F3781"/>
    <w:rsid w:val="009F6559"/>
    <w:rsid w:val="009F690E"/>
    <w:rsid w:val="00A012EF"/>
    <w:rsid w:val="00A017C2"/>
    <w:rsid w:val="00A021A6"/>
    <w:rsid w:val="00A033BD"/>
    <w:rsid w:val="00A04E00"/>
    <w:rsid w:val="00A05781"/>
    <w:rsid w:val="00A05AFC"/>
    <w:rsid w:val="00A07E73"/>
    <w:rsid w:val="00A07E79"/>
    <w:rsid w:val="00A10AB0"/>
    <w:rsid w:val="00A10E27"/>
    <w:rsid w:val="00A1112D"/>
    <w:rsid w:val="00A14668"/>
    <w:rsid w:val="00A170D2"/>
    <w:rsid w:val="00A17527"/>
    <w:rsid w:val="00A20F56"/>
    <w:rsid w:val="00A21267"/>
    <w:rsid w:val="00A21E7A"/>
    <w:rsid w:val="00A22870"/>
    <w:rsid w:val="00A23CE7"/>
    <w:rsid w:val="00A24703"/>
    <w:rsid w:val="00A258F3"/>
    <w:rsid w:val="00A2791E"/>
    <w:rsid w:val="00A30A85"/>
    <w:rsid w:val="00A32141"/>
    <w:rsid w:val="00A341FA"/>
    <w:rsid w:val="00A354E7"/>
    <w:rsid w:val="00A37938"/>
    <w:rsid w:val="00A40510"/>
    <w:rsid w:val="00A41C85"/>
    <w:rsid w:val="00A41D9A"/>
    <w:rsid w:val="00A42BE1"/>
    <w:rsid w:val="00A44258"/>
    <w:rsid w:val="00A4480C"/>
    <w:rsid w:val="00A44859"/>
    <w:rsid w:val="00A44DA4"/>
    <w:rsid w:val="00A46822"/>
    <w:rsid w:val="00A4700D"/>
    <w:rsid w:val="00A47301"/>
    <w:rsid w:val="00A476FC"/>
    <w:rsid w:val="00A47CD4"/>
    <w:rsid w:val="00A521FB"/>
    <w:rsid w:val="00A52B2E"/>
    <w:rsid w:val="00A561E3"/>
    <w:rsid w:val="00A57672"/>
    <w:rsid w:val="00A576B9"/>
    <w:rsid w:val="00A610AB"/>
    <w:rsid w:val="00A6386D"/>
    <w:rsid w:val="00A67B35"/>
    <w:rsid w:val="00A72758"/>
    <w:rsid w:val="00A748AE"/>
    <w:rsid w:val="00A761EC"/>
    <w:rsid w:val="00A77D31"/>
    <w:rsid w:val="00A83109"/>
    <w:rsid w:val="00A8648D"/>
    <w:rsid w:val="00A86C97"/>
    <w:rsid w:val="00A90400"/>
    <w:rsid w:val="00A90E7E"/>
    <w:rsid w:val="00A929E0"/>
    <w:rsid w:val="00A92FB6"/>
    <w:rsid w:val="00A963E7"/>
    <w:rsid w:val="00A97423"/>
    <w:rsid w:val="00A97BAA"/>
    <w:rsid w:val="00AA2A80"/>
    <w:rsid w:val="00AA3BA0"/>
    <w:rsid w:val="00AA57ED"/>
    <w:rsid w:val="00AA6167"/>
    <w:rsid w:val="00AA7C74"/>
    <w:rsid w:val="00AA7E88"/>
    <w:rsid w:val="00AA7F1C"/>
    <w:rsid w:val="00AB13F7"/>
    <w:rsid w:val="00AB338F"/>
    <w:rsid w:val="00AB40CF"/>
    <w:rsid w:val="00AB6F70"/>
    <w:rsid w:val="00AB772E"/>
    <w:rsid w:val="00AC059C"/>
    <w:rsid w:val="00AC25A2"/>
    <w:rsid w:val="00AC51AA"/>
    <w:rsid w:val="00AC54BE"/>
    <w:rsid w:val="00AC554F"/>
    <w:rsid w:val="00AC720A"/>
    <w:rsid w:val="00AC73AB"/>
    <w:rsid w:val="00AD1958"/>
    <w:rsid w:val="00AD281B"/>
    <w:rsid w:val="00AD2C7A"/>
    <w:rsid w:val="00AD39F5"/>
    <w:rsid w:val="00AD4177"/>
    <w:rsid w:val="00AD5887"/>
    <w:rsid w:val="00AD5F35"/>
    <w:rsid w:val="00AD7245"/>
    <w:rsid w:val="00AE071E"/>
    <w:rsid w:val="00AE1075"/>
    <w:rsid w:val="00AE3C4F"/>
    <w:rsid w:val="00AE44F2"/>
    <w:rsid w:val="00AE593B"/>
    <w:rsid w:val="00AE703B"/>
    <w:rsid w:val="00AE775F"/>
    <w:rsid w:val="00AE7C04"/>
    <w:rsid w:val="00AF05BB"/>
    <w:rsid w:val="00AF10CB"/>
    <w:rsid w:val="00AF2130"/>
    <w:rsid w:val="00AF58ED"/>
    <w:rsid w:val="00AF5FEA"/>
    <w:rsid w:val="00AF6993"/>
    <w:rsid w:val="00B00E8D"/>
    <w:rsid w:val="00B0157E"/>
    <w:rsid w:val="00B01957"/>
    <w:rsid w:val="00B01AAA"/>
    <w:rsid w:val="00B020CD"/>
    <w:rsid w:val="00B025E2"/>
    <w:rsid w:val="00B027C6"/>
    <w:rsid w:val="00B03374"/>
    <w:rsid w:val="00B04839"/>
    <w:rsid w:val="00B052F1"/>
    <w:rsid w:val="00B110DD"/>
    <w:rsid w:val="00B12A72"/>
    <w:rsid w:val="00B144D3"/>
    <w:rsid w:val="00B1799A"/>
    <w:rsid w:val="00B17A05"/>
    <w:rsid w:val="00B20890"/>
    <w:rsid w:val="00B211DA"/>
    <w:rsid w:val="00B235F2"/>
    <w:rsid w:val="00B239C3"/>
    <w:rsid w:val="00B23B96"/>
    <w:rsid w:val="00B240F0"/>
    <w:rsid w:val="00B24BBF"/>
    <w:rsid w:val="00B25FEB"/>
    <w:rsid w:val="00B273A8"/>
    <w:rsid w:val="00B27781"/>
    <w:rsid w:val="00B27D8B"/>
    <w:rsid w:val="00B3044F"/>
    <w:rsid w:val="00B30C66"/>
    <w:rsid w:val="00B333DB"/>
    <w:rsid w:val="00B35A40"/>
    <w:rsid w:val="00B36F4E"/>
    <w:rsid w:val="00B3727B"/>
    <w:rsid w:val="00B41C8D"/>
    <w:rsid w:val="00B42B32"/>
    <w:rsid w:val="00B44110"/>
    <w:rsid w:val="00B44442"/>
    <w:rsid w:val="00B44E29"/>
    <w:rsid w:val="00B45398"/>
    <w:rsid w:val="00B462FD"/>
    <w:rsid w:val="00B501DF"/>
    <w:rsid w:val="00B50B82"/>
    <w:rsid w:val="00B50D2A"/>
    <w:rsid w:val="00B53077"/>
    <w:rsid w:val="00B53E45"/>
    <w:rsid w:val="00B54E82"/>
    <w:rsid w:val="00B567F0"/>
    <w:rsid w:val="00B60261"/>
    <w:rsid w:val="00B61048"/>
    <w:rsid w:val="00B62381"/>
    <w:rsid w:val="00B624AB"/>
    <w:rsid w:val="00B63287"/>
    <w:rsid w:val="00B66E0E"/>
    <w:rsid w:val="00B7070E"/>
    <w:rsid w:val="00B71587"/>
    <w:rsid w:val="00B71AF2"/>
    <w:rsid w:val="00B73207"/>
    <w:rsid w:val="00B76398"/>
    <w:rsid w:val="00B775FA"/>
    <w:rsid w:val="00B838B7"/>
    <w:rsid w:val="00B845E4"/>
    <w:rsid w:val="00B850CF"/>
    <w:rsid w:val="00B85C93"/>
    <w:rsid w:val="00B91C02"/>
    <w:rsid w:val="00B91F26"/>
    <w:rsid w:val="00B92390"/>
    <w:rsid w:val="00B92710"/>
    <w:rsid w:val="00B9437D"/>
    <w:rsid w:val="00B9448F"/>
    <w:rsid w:val="00B95032"/>
    <w:rsid w:val="00B955A8"/>
    <w:rsid w:val="00B95713"/>
    <w:rsid w:val="00B96F84"/>
    <w:rsid w:val="00B9763C"/>
    <w:rsid w:val="00BA0502"/>
    <w:rsid w:val="00BA3AA6"/>
    <w:rsid w:val="00BA6A3A"/>
    <w:rsid w:val="00BA6B5C"/>
    <w:rsid w:val="00BA7811"/>
    <w:rsid w:val="00BA7EC1"/>
    <w:rsid w:val="00BB00F4"/>
    <w:rsid w:val="00BB3473"/>
    <w:rsid w:val="00BB3A73"/>
    <w:rsid w:val="00BB4879"/>
    <w:rsid w:val="00BB523E"/>
    <w:rsid w:val="00BB662D"/>
    <w:rsid w:val="00BB6C13"/>
    <w:rsid w:val="00BB7558"/>
    <w:rsid w:val="00BB788A"/>
    <w:rsid w:val="00BB7B9C"/>
    <w:rsid w:val="00BC00AC"/>
    <w:rsid w:val="00BC01EF"/>
    <w:rsid w:val="00BC2285"/>
    <w:rsid w:val="00BC2902"/>
    <w:rsid w:val="00BC38B6"/>
    <w:rsid w:val="00BC58C6"/>
    <w:rsid w:val="00BD1CED"/>
    <w:rsid w:val="00BD38A3"/>
    <w:rsid w:val="00BD5070"/>
    <w:rsid w:val="00BD56F1"/>
    <w:rsid w:val="00BE0D24"/>
    <w:rsid w:val="00BE28CB"/>
    <w:rsid w:val="00BE39AF"/>
    <w:rsid w:val="00BE5010"/>
    <w:rsid w:val="00BE680A"/>
    <w:rsid w:val="00BE6DA1"/>
    <w:rsid w:val="00BE76C8"/>
    <w:rsid w:val="00BF119B"/>
    <w:rsid w:val="00BF1BA2"/>
    <w:rsid w:val="00BF1F80"/>
    <w:rsid w:val="00BF4478"/>
    <w:rsid w:val="00BF5E03"/>
    <w:rsid w:val="00BF62F3"/>
    <w:rsid w:val="00BF70D7"/>
    <w:rsid w:val="00C01BF4"/>
    <w:rsid w:val="00C03912"/>
    <w:rsid w:val="00C03D7C"/>
    <w:rsid w:val="00C03F8D"/>
    <w:rsid w:val="00C04FA5"/>
    <w:rsid w:val="00C055AD"/>
    <w:rsid w:val="00C062A5"/>
    <w:rsid w:val="00C100DD"/>
    <w:rsid w:val="00C10421"/>
    <w:rsid w:val="00C11128"/>
    <w:rsid w:val="00C11F97"/>
    <w:rsid w:val="00C12CC5"/>
    <w:rsid w:val="00C135A0"/>
    <w:rsid w:val="00C15906"/>
    <w:rsid w:val="00C15C50"/>
    <w:rsid w:val="00C1602D"/>
    <w:rsid w:val="00C16B96"/>
    <w:rsid w:val="00C17366"/>
    <w:rsid w:val="00C173C4"/>
    <w:rsid w:val="00C21846"/>
    <w:rsid w:val="00C2461D"/>
    <w:rsid w:val="00C24939"/>
    <w:rsid w:val="00C276E0"/>
    <w:rsid w:val="00C27753"/>
    <w:rsid w:val="00C30A20"/>
    <w:rsid w:val="00C3329E"/>
    <w:rsid w:val="00C352D3"/>
    <w:rsid w:val="00C367CC"/>
    <w:rsid w:val="00C36E0C"/>
    <w:rsid w:val="00C4114D"/>
    <w:rsid w:val="00C41A44"/>
    <w:rsid w:val="00C42769"/>
    <w:rsid w:val="00C43ABB"/>
    <w:rsid w:val="00C43F95"/>
    <w:rsid w:val="00C44DA6"/>
    <w:rsid w:val="00C45F46"/>
    <w:rsid w:val="00C529F2"/>
    <w:rsid w:val="00C53108"/>
    <w:rsid w:val="00C540C1"/>
    <w:rsid w:val="00C56ED7"/>
    <w:rsid w:val="00C5720E"/>
    <w:rsid w:val="00C5787D"/>
    <w:rsid w:val="00C579ED"/>
    <w:rsid w:val="00C606A0"/>
    <w:rsid w:val="00C62143"/>
    <w:rsid w:val="00C62329"/>
    <w:rsid w:val="00C62585"/>
    <w:rsid w:val="00C655A8"/>
    <w:rsid w:val="00C70D16"/>
    <w:rsid w:val="00C73304"/>
    <w:rsid w:val="00C73D71"/>
    <w:rsid w:val="00C75190"/>
    <w:rsid w:val="00C80B88"/>
    <w:rsid w:val="00C814E4"/>
    <w:rsid w:val="00C81C3D"/>
    <w:rsid w:val="00C85F80"/>
    <w:rsid w:val="00C86A2B"/>
    <w:rsid w:val="00C932C7"/>
    <w:rsid w:val="00C945D3"/>
    <w:rsid w:val="00C97112"/>
    <w:rsid w:val="00CA00B1"/>
    <w:rsid w:val="00CA128D"/>
    <w:rsid w:val="00CA4C98"/>
    <w:rsid w:val="00CA4FD6"/>
    <w:rsid w:val="00CA5F15"/>
    <w:rsid w:val="00CA673F"/>
    <w:rsid w:val="00CA6D7A"/>
    <w:rsid w:val="00CA729E"/>
    <w:rsid w:val="00CB1E7A"/>
    <w:rsid w:val="00CB1F10"/>
    <w:rsid w:val="00CB21A6"/>
    <w:rsid w:val="00CB3E81"/>
    <w:rsid w:val="00CB407B"/>
    <w:rsid w:val="00CB4372"/>
    <w:rsid w:val="00CB5249"/>
    <w:rsid w:val="00CB5988"/>
    <w:rsid w:val="00CB5F3A"/>
    <w:rsid w:val="00CB72C6"/>
    <w:rsid w:val="00CC10CB"/>
    <w:rsid w:val="00CC1A06"/>
    <w:rsid w:val="00CC513F"/>
    <w:rsid w:val="00CC59C4"/>
    <w:rsid w:val="00CC62CF"/>
    <w:rsid w:val="00CC7C0A"/>
    <w:rsid w:val="00CC7CD8"/>
    <w:rsid w:val="00CC7FEE"/>
    <w:rsid w:val="00CD02C7"/>
    <w:rsid w:val="00CD038F"/>
    <w:rsid w:val="00CD0D4E"/>
    <w:rsid w:val="00CD166C"/>
    <w:rsid w:val="00CD58D0"/>
    <w:rsid w:val="00CD7BB7"/>
    <w:rsid w:val="00CD7F6C"/>
    <w:rsid w:val="00CE01FA"/>
    <w:rsid w:val="00CE02D9"/>
    <w:rsid w:val="00CE0A92"/>
    <w:rsid w:val="00CE0F9E"/>
    <w:rsid w:val="00CE3C93"/>
    <w:rsid w:val="00CE4677"/>
    <w:rsid w:val="00CE4804"/>
    <w:rsid w:val="00CE6BDA"/>
    <w:rsid w:val="00CE7B09"/>
    <w:rsid w:val="00CF1491"/>
    <w:rsid w:val="00CF16EF"/>
    <w:rsid w:val="00CF1A19"/>
    <w:rsid w:val="00CF74B5"/>
    <w:rsid w:val="00CF7D9E"/>
    <w:rsid w:val="00D02252"/>
    <w:rsid w:val="00D037A4"/>
    <w:rsid w:val="00D03FF1"/>
    <w:rsid w:val="00D04CC9"/>
    <w:rsid w:val="00D04F07"/>
    <w:rsid w:val="00D06888"/>
    <w:rsid w:val="00D07D61"/>
    <w:rsid w:val="00D10579"/>
    <w:rsid w:val="00D110E3"/>
    <w:rsid w:val="00D11DDC"/>
    <w:rsid w:val="00D13E7D"/>
    <w:rsid w:val="00D166B5"/>
    <w:rsid w:val="00D16736"/>
    <w:rsid w:val="00D22160"/>
    <w:rsid w:val="00D22653"/>
    <w:rsid w:val="00D22793"/>
    <w:rsid w:val="00D2754D"/>
    <w:rsid w:val="00D3009D"/>
    <w:rsid w:val="00D30812"/>
    <w:rsid w:val="00D3413C"/>
    <w:rsid w:val="00D37259"/>
    <w:rsid w:val="00D3752A"/>
    <w:rsid w:val="00D37C6F"/>
    <w:rsid w:val="00D42050"/>
    <w:rsid w:val="00D429F2"/>
    <w:rsid w:val="00D44DDD"/>
    <w:rsid w:val="00D46322"/>
    <w:rsid w:val="00D4632C"/>
    <w:rsid w:val="00D4711D"/>
    <w:rsid w:val="00D47F5E"/>
    <w:rsid w:val="00D504B7"/>
    <w:rsid w:val="00D50638"/>
    <w:rsid w:val="00D520A1"/>
    <w:rsid w:val="00D53984"/>
    <w:rsid w:val="00D54010"/>
    <w:rsid w:val="00D541CF"/>
    <w:rsid w:val="00D55286"/>
    <w:rsid w:val="00D56E6C"/>
    <w:rsid w:val="00D63B5A"/>
    <w:rsid w:val="00D63D63"/>
    <w:rsid w:val="00D64A23"/>
    <w:rsid w:val="00D64CDA"/>
    <w:rsid w:val="00D656AC"/>
    <w:rsid w:val="00D71A7F"/>
    <w:rsid w:val="00D731E6"/>
    <w:rsid w:val="00D7575E"/>
    <w:rsid w:val="00D776F1"/>
    <w:rsid w:val="00D77C03"/>
    <w:rsid w:val="00D807E8"/>
    <w:rsid w:val="00D8478A"/>
    <w:rsid w:val="00D875C9"/>
    <w:rsid w:val="00D905DC"/>
    <w:rsid w:val="00D90B28"/>
    <w:rsid w:val="00D93F79"/>
    <w:rsid w:val="00D94E59"/>
    <w:rsid w:val="00D95034"/>
    <w:rsid w:val="00DA00DD"/>
    <w:rsid w:val="00DA1060"/>
    <w:rsid w:val="00DA280E"/>
    <w:rsid w:val="00DA2DBA"/>
    <w:rsid w:val="00DA5A9B"/>
    <w:rsid w:val="00DA6426"/>
    <w:rsid w:val="00DA684B"/>
    <w:rsid w:val="00DB4D0C"/>
    <w:rsid w:val="00DB6118"/>
    <w:rsid w:val="00DB6C6D"/>
    <w:rsid w:val="00DB7796"/>
    <w:rsid w:val="00DB7B03"/>
    <w:rsid w:val="00DC05DB"/>
    <w:rsid w:val="00DC0E34"/>
    <w:rsid w:val="00DC57F9"/>
    <w:rsid w:val="00DC5842"/>
    <w:rsid w:val="00DC5EAA"/>
    <w:rsid w:val="00DC755B"/>
    <w:rsid w:val="00DD15A0"/>
    <w:rsid w:val="00DD17D1"/>
    <w:rsid w:val="00DD6B84"/>
    <w:rsid w:val="00DE2C7D"/>
    <w:rsid w:val="00DE380F"/>
    <w:rsid w:val="00DE5030"/>
    <w:rsid w:val="00DE74CD"/>
    <w:rsid w:val="00DE78E2"/>
    <w:rsid w:val="00DF077D"/>
    <w:rsid w:val="00DF0DFD"/>
    <w:rsid w:val="00DF3F7A"/>
    <w:rsid w:val="00DF6F8F"/>
    <w:rsid w:val="00DF765B"/>
    <w:rsid w:val="00E04441"/>
    <w:rsid w:val="00E0592E"/>
    <w:rsid w:val="00E05BA9"/>
    <w:rsid w:val="00E069C4"/>
    <w:rsid w:val="00E079C0"/>
    <w:rsid w:val="00E1054C"/>
    <w:rsid w:val="00E115F4"/>
    <w:rsid w:val="00E12088"/>
    <w:rsid w:val="00E121D9"/>
    <w:rsid w:val="00E14421"/>
    <w:rsid w:val="00E155D4"/>
    <w:rsid w:val="00E15C85"/>
    <w:rsid w:val="00E16CD3"/>
    <w:rsid w:val="00E17990"/>
    <w:rsid w:val="00E20BDD"/>
    <w:rsid w:val="00E2180B"/>
    <w:rsid w:val="00E22387"/>
    <w:rsid w:val="00E22628"/>
    <w:rsid w:val="00E22EEC"/>
    <w:rsid w:val="00E26F88"/>
    <w:rsid w:val="00E30556"/>
    <w:rsid w:val="00E30995"/>
    <w:rsid w:val="00E31255"/>
    <w:rsid w:val="00E32932"/>
    <w:rsid w:val="00E33958"/>
    <w:rsid w:val="00E36DB9"/>
    <w:rsid w:val="00E4363A"/>
    <w:rsid w:val="00E44BDE"/>
    <w:rsid w:val="00E4520E"/>
    <w:rsid w:val="00E46417"/>
    <w:rsid w:val="00E4650B"/>
    <w:rsid w:val="00E52483"/>
    <w:rsid w:val="00E52708"/>
    <w:rsid w:val="00E53C3B"/>
    <w:rsid w:val="00E53D9C"/>
    <w:rsid w:val="00E55D95"/>
    <w:rsid w:val="00E57317"/>
    <w:rsid w:val="00E6085C"/>
    <w:rsid w:val="00E60D95"/>
    <w:rsid w:val="00E61F6A"/>
    <w:rsid w:val="00E6370F"/>
    <w:rsid w:val="00E64E0B"/>
    <w:rsid w:val="00E65EBE"/>
    <w:rsid w:val="00E65F6C"/>
    <w:rsid w:val="00E67E2F"/>
    <w:rsid w:val="00E7003F"/>
    <w:rsid w:val="00E70F5E"/>
    <w:rsid w:val="00E71265"/>
    <w:rsid w:val="00E7127C"/>
    <w:rsid w:val="00E7206F"/>
    <w:rsid w:val="00E732EB"/>
    <w:rsid w:val="00E7587B"/>
    <w:rsid w:val="00E805E5"/>
    <w:rsid w:val="00E8174D"/>
    <w:rsid w:val="00E83391"/>
    <w:rsid w:val="00E8457C"/>
    <w:rsid w:val="00E907A9"/>
    <w:rsid w:val="00E91B67"/>
    <w:rsid w:val="00E94250"/>
    <w:rsid w:val="00E946AE"/>
    <w:rsid w:val="00E9488A"/>
    <w:rsid w:val="00E94BD8"/>
    <w:rsid w:val="00E9664C"/>
    <w:rsid w:val="00E9792D"/>
    <w:rsid w:val="00E97B8C"/>
    <w:rsid w:val="00EA06CE"/>
    <w:rsid w:val="00EA084C"/>
    <w:rsid w:val="00EA0E0D"/>
    <w:rsid w:val="00EA1CD5"/>
    <w:rsid w:val="00EA2D92"/>
    <w:rsid w:val="00EA3426"/>
    <w:rsid w:val="00EA3B3F"/>
    <w:rsid w:val="00EA539B"/>
    <w:rsid w:val="00EB4A8B"/>
    <w:rsid w:val="00EB4B4F"/>
    <w:rsid w:val="00EB5B91"/>
    <w:rsid w:val="00EB66C2"/>
    <w:rsid w:val="00EC0A20"/>
    <w:rsid w:val="00EC179A"/>
    <w:rsid w:val="00EC303E"/>
    <w:rsid w:val="00EC387D"/>
    <w:rsid w:val="00EC4D79"/>
    <w:rsid w:val="00EC4F7F"/>
    <w:rsid w:val="00EC562A"/>
    <w:rsid w:val="00EC6462"/>
    <w:rsid w:val="00EC6A73"/>
    <w:rsid w:val="00EC6C77"/>
    <w:rsid w:val="00EC7D15"/>
    <w:rsid w:val="00ED02FD"/>
    <w:rsid w:val="00ED0C00"/>
    <w:rsid w:val="00ED1D4B"/>
    <w:rsid w:val="00ED26B8"/>
    <w:rsid w:val="00ED3848"/>
    <w:rsid w:val="00ED3910"/>
    <w:rsid w:val="00ED3B03"/>
    <w:rsid w:val="00ED6330"/>
    <w:rsid w:val="00ED692A"/>
    <w:rsid w:val="00EE11F7"/>
    <w:rsid w:val="00EE40BA"/>
    <w:rsid w:val="00EE4205"/>
    <w:rsid w:val="00EE4231"/>
    <w:rsid w:val="00EE4850"/>
    <w:rsid w:val="00EE50AC"/>
    <w:rsid w:val="00EE5D3A"/>
    <w:rsid w:val="00EE6274"/>
    <w:rsid w:val="00EE63BE"/>
    <w:rsid w:val="00EE66F0"/>
    <w:rsid w:val="00EF043F"/>
    <w:rsid w:val="00EF2655"/>
    <w:rsid w:val="00EF71C5"/>
    <w:rsid w:val="00F009A4"/>
    <w:rsid w:val="00F06484"/>
    <w:rsid w:val="00F07424"/>
    <w:rsid w:val="00F10280"/>
    <w:rsid w:val="00F1138D"/>
    <w:rsid w:val="00F120FD"/>
    <w:rsid w:val="00F145F7"/>
    <w:rsid w:val="00F14747"/>
    <w:rsid w:val="00F17088"/>
    <w:rsid w:val="00F200AA"/>
    <w:rsid w:val="00F21DBE"/>
    <w:rsid w:val="00F21E63"/>
    <w:rsid w:val="00F24A19"/>
    <w:rsid w:val="00F24A88"/>
    <w:rsid w:val="00F25889"/>
    <w:rsid w:val="00F26851"/>
    <w:rsid w:val="00F27F21"/>
    <w:rsid w:val="00F34266"/>
    <w:rsid w:val="00F34917"/>
    <w:rsid w:val="00F35579"/>
    <w:rsid w:val="00F356A8"/>
    <w:rsid w:val="00F40791"/>
    <w:rsid w:val="00F42BAA"/>
    <w:rsid w:val="00F44726"/>
    <w:rsid w:val="00F52925"/>
    <w:rsid w:val="00F544DF"/>
    <w:rsid w:val="00F546BE"/>
    <w:rsid w:val="00F546F3"/>
    <w:rsid w:val="00F5476A"/>
    <w:rsid w:val="00F5747E"/>
    <w:rsid w:val="00F57A5B"/>
    <w:rsid w:val="00F57FFD"/>
    <w:rsid w:val="00F609A4"/>
    <w:rsid w:val="00F60C16"/>
    <w:rsid w:val="00F61533"/>
    <w:rsid w:val="00F61B01"/>
    <w:rsid w:val="00F6293F"/>
    <w:rsid w:val="00F63E41"/>
    <w:rsid w:val="00F64697"/>
    <w:rsid w:val="00F649EE"/>
    <w:rsid w:val="00F660B3"/>
    <w:rsid w:val="00F7109B"/>
    <w:rsid w:val="00F75119"/>
    <w:rsid w:val="00F76FA3"/>
    <w:rsid w:val="00F77827"/>
    <w:rsid w:val="00F81911"/>
    <w:rsid w:val="00F83D6D"/>
    <w:rsid w:val="00F8424F"/>
    <w:rsid w:val="00F8747D"/>
    <w:rsid w:val="00F907B9"/>
    <w:rsid w:val="00F90CD9"/>
    <w:rsid w:val="00F927A7"/>
    <w:rsid w:val="00F94C3D"/>
    <w:rsid w:val="00F96648"/>
    <w:rsid w:val="00F96EA8"/>
    <w:rsid w:val="00F96ED1"/>
    <w:rsid w:val="00F97D63"/>
    <w:rsid w:val="00FA01DA"/>
    <w:rsid w:val="00FA14F6"/>
    <w:rsid w:val="00FA2205"/>
    <w:rsid w:val="00FA4DFD"/>
    <w:rsid w:val="00FA510A"/>
    <w:rsid w:val="00FA550D"/>
    <w:rsid w:val="00FB4809"/>
    <w:rsid w:val="00FB6BB7"/>
    <w:rsid w:val="00FB7BC2"/>
    <w:rsid w:val="00FB7D2C"/>
    <w:rsid w:val="00FC154E"/>
    <w:rsid w:val="00FC25E7"/>
    <w:rsid w:val="00FC2CA0"/>
    <w:rsid w:val="00FC39ED"/>
    <w:rsid w:val="00FC3F0B"/>
    <w:rsid w:val="00FC5478"/>
    <w:rsid w:val="00FC655A"/>
    <w:rsid w:val="00FC68CA"/>
    <w:rsid w:val="00FC7567"/>
    <w:rsid w:val="00FC7EF4"/>
    <w:rsid w:val="00FD073F"/>
    <w:rsid w:val="00FD0867"/>
    <w:rsid w:val="00FD3015"/>
    <w:rsid w:val="00FD3266"/>
    <w:rsid w:val="00FD35FD"/>
    <w:rsid w:val="00FD4333"/>
    <w:rsid w:val="00FD5346"/>
    <w:rsid w:val="00FD59B8"/>
    <w:rsid w:val="00FD5D45"/>
    <w:rsid w:val="00FD7B8E"/>
    <w:rsid w:val="00FE0AAB"/>
    <w:rsid w:val="00FE2ECC"/>
    <w:rsid w:val="00FE3B11"/>
    <w:rsid w:val="00FE4B62"/>
    <w:rsid w:val="00FE50E4"/>
    <w:rsid w:val="00FE6236"/>
    <w:rsid w:val="00FE7596"/>
    <w:rsid w:val="00FE7774"/>
    <w:rsid w:val="00FF0052"/>
    <w:rsid w:val="00FF09A7"/>
    <w:rsid w:val="00FF0E06"/>
    <w:rsid w:val="00FF1229"/>
    <w:rsid w:val="00FF57A7"/>
    <w:rsid w:val="00FF6C43"/>
    <w:rsid w:val="764C6D2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0B82"/>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rsid w:val="001338E6"/>
    <w:rPr>
      <w:rFonts w:eastAsia="宋体"/>
    </w:rPr>
  </w:style>
  <w:style w:type="paragraph" w:styleId="a4">
    <w:name w:val="Balloon Text"/>
    <w:basedOn w:val="a"/>
    <w:link w:val="Char0"/>
    <w:uiPriority w:val="99"/>
    <w:semiHidden/>
    <w:unhideWhenUsed/>
    <w:rsid w:val="001338E6"/>
    <w:rPr>
      <w:sz w:val="18"/>
      <w:szCs w:val="18"/>
    </w:rPr>
  </w:style>
  <w:style w:type="paragraph" w:styleId="a5">
    <w:name w:val="footer"/>
    <w:basedOn w:val="a"/>
    <w:link w:val="Char1"/>
    <w:uiPriority w:val="99"/>
    <w:unhideWhenUsed/>
    <w:rsid w:val="001338E6"/>
    <w:pPr>
      <w:tabs>
        <w:tab w:val="center" w:pos="4153"/>
        <w:tab w:val="right" w:pos="8306"/>
      </w:tabs>
      <w:snapToGrid w:val="0"/>
    </w:pPr>
    <w:rPr>
      <w:rFonts w:eastAsia="宋体"/>
      <w:sz w:val="18"/>
      <w:szCs w:val="18"/>
    </w:rPr>
  </w:style>
  <w:style w:type="paragraph" w:styleId="a6">
    <w:name w:val="annotation subject"/>
    <w:basedOn w:val="a3"/>
    <w:next w:val="a3"/>
    <w:link w:val="Char2"/>
    <w:uiPriority w:val="99"/>
    <w:semiHidden/>
    <w:unhideWhenUsed/>
    <w:qFormat/>
    <w:rsid w:val="001338E6"/>
    <w:rPr>
      <w:b/>
      <w:bCs/>
    </w:rPr>
  </w:style>
  <w:style w:type="character" w:styleId="a7">
    <w:name w:val="page number"/>
    <w:basedOn w:val="a0"/>
    <w:uiPriority w:val="99"/>
    <w:semiHidden/>
    <w:unhideWhenUsed/>
    <w:rsid w:val="001338E6"/>
  </w:style>
  <w:style w:type="character" w:styleId="a8">
    <w:name w:val="annotation reference"/>
    <w:basedOn w:val="a0"/>
    <w:uiPriority w:val="99"/>
    <w:semiHidden/>
    <w:unhideWhenUsed/>
    <w:qFormat/>
    <w:rsid w:val="001338E6"/>
    <w:rPr>
      <w:sz w:val="21"/>
      <w:szCs w:val="21"/>
    </w:rPr>
  </w:style>
  <w:style w:type="paragraph" w:styleId="a9">
    <w:name w:val="List Paragraph"/>
    <w:basedOn w:val="a"/>
    <w:uiPriority w:val="34"/>
    <w:qFormat/>
    <w:rsid w:val="001338E6"/>
    <w:pPr>
      <w:ind w:firstLineChars="200" w:firstLine="420"/>
    </w:pPr>
    <w:rPr>
      <w:rFonts w:eastAsia="宋体"/>
    </w:rPr>
  </w:style>
  <w:style w:type="character" w:customStyle="1" w:styleId="Char1">
    <w:name w:val="页脚 Char"/>
    <w:basedOn w:val="a0"/>
    <w:link w:val="a5"/>
    <w:uiPriority w:val="99"/>
    <w:qFormat/>
    <w:rsid w:val="001338E6"/>
    <w:rPr>
      <w:rFonts w:ascii="Times New Roman" w:eastAsia="宋体" w:hAnsi="Times New Roman" w:cs="Times New Roman"/>
      <w:kern w:val="0"/>
      <w:sz w:val="18"/>
      <w:szCs w:val="18"/>
    </w:rPr>
  </w:style>
  <w:style w:type="character" w:customStyle="1" w:styleId="Char0">
    <w:name w:val="批注框文本 Char"/>
    <w:basedOn w:val="a0"/>
    <w:link w:val="a4"/>
    <w:uiPriority w:val="99"/>
    <w:semiHidden/>
    <w:rsid w:val="001338E6"/>
    <w:rPr>
      <w:rFonts w:ascii="Times New Roman" w:eastAsia="宋体" w:hAnsi="Times New Roman" w:cs="Times New Roman"/>
      <w:kern w:val="0"/>
      <w:sz w:val="18"/>
      <w:szCs w:val="18"/>
    </w:rPr>
  </w:style>
  <w:style w:type="character" w:customStyle="1" w:styleId="Char">
    <w:name w:val="批注文字 Char"/>
    <w:basedOn w:val="a0"/>
    <w:link w:val="a3"/>
    <w:uiPriority w:val="99"/>
    <w:semiHidden/>
    <w:rsid w:val="001338E6"/>
    <w:rPr>
      <w:rFonts w:ascii="Times New Roman" w:eastAsia="宋体" w:hAnsi="Times New Roman" w:cs="Times New Roman"/>
      <w:kern w:val="0"/>
    </w:rPr>
  </w:style>
  <w:style w:type="character" w:customStyle="1" w:styleId="Char2">
    <w:name w:val="批注主题 Char"/>
    <w:basedOn w:val="Char"/>
    <w:link w:val="a6"/>
    <w:uiPriority w:val="99"/>
    <w:semiHidden/>
    <w:qFormat/>
    <w:rsid w:val="001338E6"/>
    <w:rPr>
      <w:rFonts w:ascii="Times New Roman" w:eastAsia="宋体" w:hAnsi="Times New Roman" w:cs="Times New Roman"/>
      <w:b/>
      <w:bCs/>
      <w:kern w:val="0"/>
    </w:rPr>
  </w:style>
  <w:style w:type="paragraph" w:styleId="aa">
    <w:name w:val="Revision"/>
    <w:hidden/>
    <w:uiPriority w:val="99"/>
    <w:semiHidden/>
    <w:rsid w:val="00FF0E06"/>
    <w:rPr>
      <w:rFonts w:ascii="Times New Roman" w:eastAsia="宋体" w:hAnsi="Times New Roman" w:cs="Times New Roman"/>
      <w:sz w:val="24"/>
      <w:szCs w:val="24"/>
    </w:rPr>
  </w:style>
  <w:style w:type="paragraph" w:styleId="ab">
    <w:name w:val="header"/>
    <w:basedOn w:val="a"/>
    <w:link w:val="Char3"/>
    <w:uiPriority w:val="99"/>
    <w:semiHidden/>
    <w:unhideWhenUsed/>
    <w:rsid w:val="001850BD"/>
    <w:pPr>
      <w:pBdr>
        <w:bottom w:val="single" w:sz="6" w:space="1" w:color="auto"/>
      </w:pBdr>
      <w:tabs>
        <w:tab w:val="center" w:pos="4153"/>
        <w:tab w:val="right" w:pos="8306"/>
      </w:tabs>
      <w:snapToGrid w:val="0"/>
      <w:jc w:val="center"/>
    </w:pPr>
    <w:rPr>
      <w:sz w:val="18"/>
      <w:szCs w:val="18"/>
    </w:rPr>
  </w:style>
  <w:style w:type="character" w:customStyle="1" w:styleId="Char3">
    <w:name w:val="页眉 Char"/>
    <w:basedOn w:val="a0"/>
    <w:link w:val="ab"/>
    <w:uiPriority w:val="99"/>
    <w:semiHidden/>
    <w:rsid w:val="001850BD"/>
    <w:rPr>
      <w:rFonts w:ascii="Times New Roman"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0B82"/>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rsid w:val="001338E6"/>
    <w:rPr>
      <w:rFonts w:eastAsia="宋体"/>
    </w:rPr>
  </w:style>
  <w:style w:type="paragraph" w:styleId="a4">
    <w:name w:val="Balloon Text"/>
    <w:basedOn w:val="a"/>
    <w:link w:val="Char0"/>
    <w:uiPriority w:val="99"/>
    <w:semiHidden/>
    <w:unhideWhenUsed/>
    <w:rsid w:val="001338E6"/>
    <w:rPr>
      <w:sz w:val="18"/>
      <w:szCs w:val="18"/>
    </w:rPr>
  </w:style>
  <w:style w:type="paragraph" w:styleId="a5">
    <w:name w:val="footer"/>
    <w:basedOn w:val="a"/>
    <w:link w:val="Char1"/>
    <w:uiPriority w:val="99"/>
    <w:unhideWhenUsed/>
    <w:rsid w:val="001338E6"/>
    <w:pPr>
      <w:tabs>
        <w:tab w:val="center" w:pos="4153"/>
        <w:tab w:val="right" w:pos="8306"/>
      </w:tabs>
      <w:snapToGrid w:val="0"/>
    </w:pPr>
    <w:rPr>
      <w:rFonts w:eastAsia="宋体"/>
      <w:sz w:val="18"/>
      <w:szCs w:val="18"/>
    </w:rPr>
  </w:style>
  <w:style w:type="paragraph" w:styleId="a6">
    <w:name w:val="annotation subject"/>
    <w:basedOn w:val="a3"/>
    <w:next w:val="a3"/>
    <w:link w:val="Char2"/>
    <w:uiPriority w:val="99"/>
    <w:semiHidden/>
    <w:unhideWhenUsed/>
    <w:qFormat/>
    <w:rsid w:val="001338E6"/>
    <w:rPr>
      <w:b/>
      <w:bCs/>
    </w:rPr>
  </w:style>
  <w:style w:type="character" w:styleId="a7">
    <w:name w:val="page number"/>
    <w:basedOn w:val="a0"/>
    <w:uiPriority w:val="99"/>
    <w:semiHidden/>
    <w:unhideWhenUsed/>
    <w:rsid w:val="001338E6"/>
  </w:style>
  <w:style w:type="character" w:styleId="a8">
    <w:name w:val="annotation reference"/>
    <w:basedOn w:val="a0"/>
    <w:uiPriority w:val="99"/>
    <w:semiHidden/>
    <w:unhideWhenUsed/>
    <w:qFormat/>
    <w:rsid w:val="001338E6"/>
    <w:rPr>
      <w:sz w:val="21"/>
      <w:szCs w:val="21"/>
    </w:rPr>
  </w:style>
  <w:style w:type="paragraph" w:styleId="a9">
    <w:name w:val="List Paragraph"/>
    <w:basedOn w:val="a"/>
    <w:uiPriority w:val="34"/>
    <w:qFormat/>
    <w:rsid w:val="001338E6"/>
    <w:pPr>
      <w:ind w:firstLineChars="200" w:firstLine="420"/>
    </w:pPr>
    <w:rPr>
      <w:rFonts w:eastAsia="宋体"/>
    </w:rPr>
  </w:style>
  <w:style w:type="character" w:customStyle="1" w:styleId="Char1">
    <w:name w:val="页脚 Char"/>
    <w:basedOn w:val="a0"/>
    <w:link w:val="a5"/>
    <w:uiPriority w:val="99"/>
    <w:qFormat/>
    <w:rsid w:val="001338E6"/>
    <w:rPr>
      <w:rFonts w:ascii="Times New Roman" w:eastAsia="宋体" w:hAnsi="Times New Roman" w:cs="Times New Roman"/>
      <w:kern w:val="0"/>
      <w:sz w:val="18"/>
      <w:szCs w:val="18"/>
    </w:rPr>
  </w:style>
  <w:style w:type="character" w:customStyle="1" w:styleId="Char0">
    <w:name w:val="批注框文本 Char"/>
    <w:basedOn w:val="a0"/>
    <w:link w:val="a4"/>
    <w:uiPriority w:val="99"/>
    <w:semiHidden/>
    <w:rsid w:val="001338E6"/>
    <w:rPr>
      <w:rFonts w:ascii="Times New Roman" w:eastAsia="宋体" w:hAnsi="Times New Roman" w:cs="Times New Roman"/>
      <w:kern w:val="0"/>
      <w:sz w:val="18"/>
      <w:szCs w:val="18"/>
    </w:rPr>
  </w:style>
  <w:style w:type="character" w:customStyle="1" w:styleId="Char">
    <w:name w:val="批注文字 Char"/>
    <w:basedOn w:val="a0"/>
    <w:link w:val="a3"/>
    <w:uiPriority w:val="99"/>
    <w:semiHidden/>
    <w:rsid w:val="001338E6"/>
    <w:rPr>
      <w:rFonts w:ascii="Times New Roman" w:eastAsia="宋体" w:hAnsi="Times New Roman" w:cs="Times New Roman"/>
      <w:kern w:val="0"/>
    </w:rPr>
  </w:style>
  <w:style w:type="character" w:customStyle="1" w:styleId="Char2">
    <w:name w:val="批注主题 Char"/>
    <w:basedOn w:val="Char"/>
    <w:link w:val="a6"/>
    <w:uiPriority w:val="99"/>
    <w:semiHidden/>
    <w:qFormat/>
    <w:rsid w:val="001338E6"/>
    <w:rPr>
      <w:rFonts w:ascii="Times New Roman" w:eastAsia="宋体" w:hAnsi="Times New Roman" w:cs="Times New Roman"/>
      <w:b/>
      <w:bCs/>
      <w:kern w:val="0"/>
    </w:rPr>
  </w:style>
  <w:style w:type="paragraph" w:styleId="aa">
    <w:name w:val="Revision"/>
    <w:hidden/>
    <w:uiPriority w:val="99"/>
    <w:semiHidden/>
    <w:rsid w:val="00FF0E06"/>
    <w:rPr>
      <w:rFonts w:ascii="Times New Roman" w:eastAsia="宋体" w:hAnsi="Times New Roman" w:cs="Times New Roman"/>
      <w:sz w:val="24"/>
      <w:szCs w:val="24"/>
    </w:rPr>
  </w:style>
  <w:style w:type="paragraph" w:styleId="ab">
    <w:name w:val="header"/>
    <w:basedOn w:val="a"/>
    <w:link w:val="Char3"/>
    <w:uiPriority w:val="99"/>
    <w:semiHidden/>
    <w:unhideWhenUsed/>
    <w:rsid w:val="001850BD"/>
    <w:pPr>
      <w:pBdr>
        <w:bottom w:val="single" w:sz="6" w:space="1" w:color="auto"/>
      </w:pBdr>
      <w:tabs>
        <w:tab w:val="center" w:pos="4153"/>
        <w:tab w:val="right" w:pos="8306"/>
      </w:tabs>
      <w:snapToGrid w:val="0"/>
      <w:jc w:val="center"/>
    </w:pPr>
    <w:rPr>
      <w:sz w:val="18"/>
      <w:szCs w:val="18"/>
    </w:rPr>
  </w:style>
  <w:style w:type="character" w:customStyle="1" w:styleId="Char3">
    <w:name w:val="页眉 Char"/>
    <w:basedOn w:val="a0"/>
    <w:link w:val="ab"/>
    <w:uiPriority w:val="99"/>
    <w:semiHidden/>
    <w:rsid w:val="001850BD"/>
    <w:rPr>
      <w:rFonts w:ascii="Times New Roman"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divs>
    <w:div w:id="24721252">
      <w:bodyDiv w:val="1"/>
      <w:marLeft w:val="0"/>
      <w:marRight w:val="0"/>
      <w:marTop w:val="0"/>
      <w:marBottom w:val="0"/>
      <w:divBdr>
        <w:top w:val="none" w:sz="0" w:space="0" w:color="auto"/>
        <w:left w:val="none" w:sz="0" w:space="0" w:color="auto"/>
        <w:bottom w:val="none" w:sz="0" w:space="0" w:color="auto"/>
        <w:right w:val="none" w:sz="0" w:space="0" w:color="auto"/>
      </w:divBdr>
    </w:div>
    <w:div w:id="1188447188">
      <w:bodyDiv w:val="1"/>
      <w:marLeft w:val="0"/>
      <w:marRight w:val="0"/>
      <w:marTop w:val="0"/>
      <w:marBottom w:val="0"/>
      <w:divBdr>
        <w:top w:val="none" w:sz="0" w:space="0" w:color="auto"/>
        <w:left w:val="none" w:sz="0" w:space="0" w:color="auto"/>
        <w:bottom w:val="none" w:sz="0" w:space="0" w:color="auto"/>
        <w:right w:val="none" w:sz="0" w:space="0" w:color="auto"/>
      </w:divBdr>
    </w:div>
    <w:div w:id="20655255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stylesWithEffects" Target="stylesWithEffect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A6B267FA-5CDE-4DCA-A189-3746B14BC8C0}">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304</TotalTime>
  <Pages>13</Pages>
  <Words>831</Words>
  <Characters>4741</Characters>
  <Application>Microsoft Office Word</Application>
  <DocSecurity>0</DocSecurity>
  <Lines>39</Lines>
  <Paragraphs>11</Paragraphs>
  <ScaleCrop>false</ScaleCrop>
  <Company>P R C</Company>
  <LinksUpToDate>false</LinksUpToDate>
  <CharactersWithSpaces>5561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dc:creator>
  <cp:lastModifiedBy>NTKO</cp:lastModifiedBy>
  <cp:revision>23</cp:revision>
  <cp:lastPrinted>2020-10-26T10:31:00Z</cp:lastPrinted>
  <dcterms:created xsi:type="dcterms:W3CDTF">2020-10-23T09:10:00Z</dcterms:created>
  <dcterms:modified xsi:type="dcterms:W3CDTF">2020-10-26T12:20:00Z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