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6FF" w:rsidRPr="007246FF" w:rsidRDefault="007246FF" w:rsidP="00831130">
      <w:pPr>
        <w:widowControl/>
        <w:adjustRightInd w:val="0"/>
        <w:snapToGrid w:val="0"/>
        <w:spacing w:line="590" w:lineRule="exact"/>
        <w:jc w:val="left"/>
        <w:rPr>
          <w:rFonts w:ascii="Times New Roman" w:eastAsia="方正仿宋_GBK" w:hAnsi="Times New Roman"/>
          <w:color w:val="000000"/>
          <w:kern w:val="0"/>
          <w:sz w:val="32"/>
          <w:szCs w:val="32"/>
          <w:lang w:val="zh-CN"/>
        </w:rPr>
      </w:pPr>
      <w:r>
        <w:rPr>
          <w:rFonts w:ascii="黑体" w:eastAsia="黑体" w:hAnsi="黑体" w:hint="eastAsia"/>
          <w:sz w:val="32"/>
          <w:szCs w:val="32"/>
        </w:rPr>
        <w:t>附件：</w:t>
      </w:r>
    </w:p>
    <w:p w:rsidR="007246FF" w:rsidRDefault="007246FF" w:rsidP="00422EB3">
      <w:pPr>
        <w:adjustRightInd w:val="0"/>
        <w:snapToGrid w:val="0"/>
        <w:spacing w:line="590" w:lineRule="exact"/>
        <w:ind w:firstLineChars="200" w:firstLine="640"/>
        <w:rPr>
          <w:rFonts w:ascii="仿宋" w:eastAsia="仿宋" w:hAnsi="仿宋"/>
          <w:sz w:val="32"/>
          <w:szCs w:val="32"/>
        </w:rPr>
      </w:pPr>
    </w:p>
    <w:p w:rsidR="007246FF" w:rsidRDefault="007246FF" w:rsidP="00422EB3">
      <w:pPr>
        <w:adjustRightInd w:val="0"/>
        <w:snapToGrid w:val="0"/>
        <w:spacing w:line="590" w:lineRule="exact"/>
        <w:jc w:val="center"/>
        <w:rPr>
          <w:rFonts w:ascii="方正小标宋_GBK" w:eastAsia="方正小标宋_GBK" w:hAnsi="宋体"/>
          <w:sz w:val="44"/>
          <w:szCs w:val="44"/>
        </w:rPr>
      </w:pPr>
      <w:r>
        <w:rPr>
          <w:rFonts w:ascii="方正小标宋_GBK" w:eastAsia="方正小标宋_GBK" w:hAnsi="宋体"/>
          <w:sz w:val="44"/>
          <w:szCs w:val="44"/>
        </w:rPr>
        <w:t>20</w:t>
      </w:r>
      <w:r>
        <w:rPr>
          <w:rFonts w:ascii="方正小标宋_GBK" w:eastAsia="方正小标宋_GBK" w:hAnsi="宋体" w:hint="eastAsia"/>
          <w:sz w:val="44"/>
          <w:szCs w:val="44"/>
        </w:rPr>
        <w:t>20年政府法治研究课题项目指南</w:t>
      </w:r>
    </w:p>
    <w:p w:rsidR="00A1075E" w:rsidRPr="007246FF" w:rsidRDefault="00A1075E" w:rsidP="00422EB3">
      <w:pPr>
        <w:adjustRightInd w:val="0"/>
        <w:snapToGrid w:val="0"/>
        <w:spacing w:line="590" w:lineRule="exact"/>
        <w:ind w:firstLineChars="1850" w:firstLine="5920"/>
        <w:rPr>
          <w:rFonts w:ascii="楷体_GB2312" w:eastAsia="楷体_GB2312" w:hAnsi="黑体" w:cs="宋体"/>
          <w:color w:val="000000" w:themeColor="text1"/>
          <w:kern w:val="0"/>
          <w:sz w:val="32"/>
          <w:szCs w:val="32"/>
        </w:rPr>
      </w:pPr>
    </w:p>
    <w:p w:rsidR="00AF3518" w:rsidRPr="007246FF" w:rsidRDefault="00A1075E" w:rsidP="00422EB3">
      <w:pPr>
        <w:adjustRightInd w:val="0"/>
        <w:snapToGrid w:val="0"/>
        <w:spacing w:line="590" w:lineRule="exact"/>
        <w:ind w:firstLineChars="200" w:firstLine="640"/>
        <w:rPr>
          <w:rFonts w:ascii="黑体" w:eastAsia="黑体" w:hAnsi="黑体" w:cs="宋体"/>
          <w:color w:val="000000" w:themeColor="text1"/>
          <w:kern w:val="0"/>
          <w:sz w:val="32"/>
          <w:szCs w:val="32"/>
        </w:rPr>
      </w:pPr>
      <w:r w:rsidRPr="007246FF">
        <w:rPr>
          <w:rFonts w:ascii="黑体" w:eastAsia="黑体" w:hAnsi="黑体" w:cs="宋体" w:hint="eastAsia"/>
          <w:color w:val="000000" w:themeColor="text1"/>
          <w:kern w:val="0"/>
          <w:sz w:val="32"/>
          <w:szCs w:val="32"/>
        </w:rPr>
        <w:t>一、重点课题</w:t>
      </w:r>
    </w:p>
    <w:p w:rsidR="00A1075E" w:rsidRPr="00422EB3" w:rsidRDefault="00A1075E" w:rsidP="00422EB3">
      <w:pPr>
        <w:adjustRightInd w:val="0"/>
        <w:snapToGrid w:val="0"/>
        <w:spacing w:line="590" w:lineRule="exact"/>
        <w:ind w:firstLineChars="200" w:firstLine="640"/>
        <w:rPr>
          <w:rFonts w:ascii="楷体_GB2312" w:eastAsia="楷体_GB2312" w:hAnsi="仿宋" w:cs="Times New Roman"/>
          <w:color w:val="000000" w:themeColor="text1"/>
          <w:sz w:val="32"/>
          <w:szCs w:val="32"/>
        </w:rPr>
      </w:pPr>
      <w:r w:rsidRPr="00422EB3">
        <w:rPr>
          <w:rFonts w:ascii="楷体_GB2312" w:eastAsia="楷体_GB2312" w:hAnsi="黑体" w:cs="宋体" w:hint="eastAsia"/>
          <w:color w:val="000000" w:themeColor="text1"/>
          <w:kern w:val="0"/>
          <w:sz w:val="32"/>
          <w:szCs w:val="32"/>
        </w:rPr>
        <w:t>1.</w:t>
      </w:r>
      <w:r w:rsidRPr="00422EB3">
        <w:rPr>
          <w:rFonts w:ascii="楷体_GB2312" w:eastAsia="楷体_GB2312" w:hAnsi="仿宋" w:cs="Times New Roman" w:hint="eastAsia"/>
          <w:color w:val="000000" w:themeColor="text1"/>
          <w:sz w:val="32"/>
          <w:szCs w:val="32"/>
        </w:rPr>
        <w:t>政府备案管理研究（编号：2020jssf001）</w:t>
      </w:r>
    </w:p>
    <w:p w:rsidR="00DB08C4" w:rsidRDefault="00A1075E" w:rsidP="00422EB3">
      <w:pPr>
        <w:adjustRightInd w:val="0"/>
        <w:snapToGrid w:val="0"/>
        <w:spacing w:line="590" w:lineRule="exact"/>
        <w:ind w:firstLineChars="200" w:firstLine="643"/>
        <w:rPr>
          <w:rFonts w:ascii="Microsoft Yahei" w:hAnsi="Microsoft Yahei" w:hint="eastAsia"/>
          <w:color w:val="333333"/>
        </w:rPr>
      </w:pPr>
      <w:r w:rsidRPr="00422EB3">
        <w:rPr>
          <w:rFonts w:ascii="仿宋_GB2312" w:eastAsia="仿宋_GB2312" w:hAnsi="仿宋" w:cs="Times New Roman" w:hint="eastAsia"/>
          <w:b/>
          <w:sz w:val="32"/>
          <w:szCs w:val="32"/>
        </w:rPr>
        <w:t>课题的必要性：</w:t>
      </w:r>
      <w:r w:rsidR="008B6F3D" w:rsidRPr="007A10EB">
        <w:rPr>
          <w:rFonts w:ascii="仿宋_GB2312" w:eastAsia="仿宋_GB2312" w:hAnsi="仿宋" w:cs="Times New Roman" w:hint="eastAsia"/>
          <w:sz w:val="32"/>
          <w:szCs w:val="32"/>
        </w:rPr>
        <w:t>随着行政审批制度改革的深入推进，一定市场监管领域内审批事项的缩减，</w:t>
      </w:r>
      <w:r w:rsidR="00591055" w:rsidRPr="007A10EB">
        <w:rPr>
          <w:rFonts w:ascii="仿宋_GB2312" w:eastAsia="仿宋_GB2312" w:hAnsi="仿宋" w:cs="Times New Roman"/>
          <w:sz w:val="32"/>
          <w:szCs w:val="32"/>
        </w:rPr>
        <w:t>促使备案</w:t>
      </w:r>
      <w:r w:rsidR="000C14B0" w:rsidRPr="007A10EB">
        <w:rPr>
          <w:rFonts w:ascii="仿宋_GB2312" w:eastAsia="仿宋_GB2312" w:hAnsi="仿宋" w:cs="Times New Roman" w:hint="eastAsia"/>
          <w:sz w:val="32"/>
          <w:szCs w:val="32"/>
        </w:rPr>
        <w:t>制度</w:t>
      </w:r>
      <w:r w:rsidR="00591055" w:rsidRPr="007A10EB">
        <w:rPr>
          <w:rFonts w:ascii="仿宋_GB2312" w:eastAsia="仿宋_GB2312" w:hAnsi="仿宋" w:cs="Times New Roman"/>
          <w:sz w:val="32"/>
          <w:szCs w:val="32"/>
        </w:rPr>
        <w:t>这种</w:t>
      </w:r>
      <w:r w:rsidR="003242B7" w:rsidRPr="007A10EB">
        <w:rPr>
          <w:rFonts w:ascii="仿宋_GB2312" w:eastAsia="仿宋_GB2312" w:hAnsi="仿宋" w:cs="Times New Roman" w:hint="eastAsia"/>
          <w:sz w:val="32"/>
          <w:szCs w:val="32"/>
        </w:rPr>
        <w:t>柔性</w:t>
      </w:r>
      <w:r w:rsidR="00591055" w:rsidRPr="007A10EB">
        <w:rPr>
          <w:rFonts w:ascii="仿宋_GB2312" w:eastAsia="仿宋_GB2312" w:hAnsi="仿宋" w:cs="Times New Roman"/>
          <w:sz w:val="32"/>
          <w:szCs w:val="32"/>
        </w:rPr>
        <w:t>行政管理模式</w:t>
      </w:r>
      <w:r w:rsidR="000C14B0" w:rsidRPr="007A10EB">
        <w:rPr>
          <w:rFonts w:ascii="仿宋_GB2312" w:eastAsia="仿宋_GB2312" w:hAnsi="仿宋" w:cs="Times New Roman" w:hint="eastAsia"/>
          <w:sz w:val="32"/>
          <w:szCs w:val="32"/>
        </w:rPr>
        <w:t>成为</w:t>
      </w:r>
      <w:r w:rsidR="000C14B0" w:rsidRPr="007A10EB">
        <w:rPr>
          <w:rFonts w:ascii="仿宋_GB2312" w:eastAsia="仿宋_GB2312" w:hAnsi="仿宋" w:cs="Times New Roman"/>
          <w:sz w:val="32"/>
          <w:szCs w:val="32"/>
        </w:rPr>
        <w:t>政府管理与服务</w:t>
      </w:r>
      <w:r w:rsidR="000C14B0" w:rsidRPr="007A10EB">
        <w:rPr>
          <w:rFonts w:ascii="仿宋_GB2312" w:eastAsia="仿宋_GB2312" w:hAnsi="仿宋" w:cs="Times New Roman" w:hint="eastAsia"/>
          <w:sz w:val="32"/>
          <w:szCs w:val="32"/>
        </w:rPr>
        <w:t>的重要手段</w:t>
      </w:r>
      <w:r w:rsidR="003242B7" w:rsidRPr="007A10EB">
        <w:rPr>
          <w:rFonts w:ascii="仿宋_GB2312" w:eastAsia="仿宋_GB2312" w:hAnsi="仿宋" w:cs="Times New Roman" w:hint="eastAsia"/>
          <w:sz w:val="32"/>
          <w:szCs w:val="32"/>
        </w:rPr>
        <w:t>。</w:t>
      </w:r>
      <w:r w:rsidR="00591055" w:rsidRPr="007A10EB">
        <w:rPr>
          <w:rFonts w:ascii="仿宋_GB2312" w:eastAsia="仿宋_GB2312" w:hAnsi="仿宋" w:cs="Times New Roman"/>
          <w:sz w:val="32"/>
          <w:szCs w:val="32"/>
        </w:rPr>
        <w:t>然而,</w:t>
      </w:r>
      <w:r w:rsidR="000C14B0" w:rsidRPr="007A10EB">
        <w:rPr>
          <w:rFonts w:ascii="仿宋_GB2312" w:eastAsia="仿宋_GB2312" w:hAnsi="仿宋" w:cs="Times New Roman" w:hint="eastAsia"/>
          <w:sz w:val="32"/>
          <w:szCs w:val="32"/>
        </w:rPr>
        <w:t>实践中，</w:t>
      </w:r>
      <w:r w:rsidR="003242B7" w:rsidRPr="007A10EB">
        <w:rPr>
          <w:rFonts w:ascii="仿宋_GB2312" w:eastAsia="仿宋_GB2312" w:hAnsi="仿宋" w:cs="Times New Roman" w:hint="eastAsia"/>
          <w:sz w:val="32"/>
          <w:szCs w:val="32"/>
        </w:rPr>
        <w:t>市场主体资质良莠不齐、备案实施的相关法律制度不健全、执法机</w:t>
      </w:r>
      <w:r w:rsidR="00ED305D">
        <w:rPr>
          <w:rFonts w:ascii="仿宋_GB2312" w:eastAsia="仿宋_GB2312" w:hAnsi="仿宋" w:cs="Times New Roman" w:hint="eastAsia"/>
          <w:sz w:val="32"/>
          <w:szCs w:val="32"/>
        </w:rPr>
        <w:t>关</w:t>
      </w:r>
      <w:r w:rsidR="003242B7" w:rsidRPr="007A10EB">
        <w:rPr>
          <w:rFonts w:ascii="仿宋_GB2312" w:eastAsia="仿宋_GB2312" w:hAnsi="仿宋" w:cs="Times New Roman" w:hint="eastAsia"/>
          <w:sz w:val="32"/>
          <w:szCs w:val="32"/>
        </w:rPr>
        <w:t>监管乏力等问题</w:t>
      </w:r>
      <w:r w:rsidR="001D1DC2">
        <w:rPr>
          <w:rFonts w:ascii="仿宋_GB2312" w:eastAsia="仿宋_GB2312" w:hAnsi="仿宋" w:cs="Times New Roman" w:hint="eastAsia"/>
          <w:sz w:val="32"/>
          <w:szCs w:val="32"/>
        </w:rPr>
        <w:t>，</w:t>
      </w:r>
      <w:r w:rsidR="00D5437D">
        <w:rPr>
          <w:rFonts w:ascii="仿宋_GB2312" w:eastAsia="仿宋_GB2312" w:hAnsi="仿宋" w:cs="Times New Roman" w:hint="eastAsia"/>
          <w:sz w:val="32"/>
          <w:szCs w:val="32"/>
        </w:rPr>
        <w:t>制约着备案管理工作的开展。因此，加强对政府备案管理工作</w:t>
      </w:r>
      <w:r w:rsidR="00422EB3">
        <w:rPr>
          <w:rFonts w:ascii="仿宋_GB2312" w:eastAsia="仿宋_GB2312" w:hAnsi="仿宋" w:cs="Times New Roman" w:hint="eastAsia"/>
          <w:sz w:val="32"/>
          <w:szCs w:val="32"/>
        </w:rPr>
        <w:t>研究，梳理问题，提出切实可行的解决路径，为市场经济健康发展提供更优质环境</w:t>
      </w:r>
      <w:r w:rsidR="00D5437D">
        <w:rPr>
          <w:rFonts w:ascii="仿宋_GB2312" w:eastAsia="仿宋_GB2312" w:hAnsi="仿宋" w:cs="Times New Roman" w:hint="eastAsia"/>
          <w:sz w:val="32"/>
          <w:szCs w:val="32"/>
        </w:rPr>
        <w:t>。</w:t>
      </w:r>
    </w:p>
    <w:p w:rsidR="005D0208" w:rsidRDefault="00A1075E" w:rsidP="005D0208">
      <w:pPr>
        <w:adjustRightInd w:val="0"/>
        <w:snapToGrid w:val="0"/>
        <w:spacing w:line="590" w:lineRule="exact"/>
        <w:ind w:firstLineChars="200" w:firstLine="643"/>
        <w:rPr>
          <w:rFonts w:ascii="仿宋_GB2312" w:eastAsia="仿宋_GB2312" w:hAnsi="仿宋" w:cs="Times New Roman"/>
          <w:sz w:val="32"/>
          <w:szCs w:val="32"/>
        </w:rPr>
      </w:pPr>
      <w:r w:rsidRPr="00422EB3">
        <w:rPr>
          <w:rFonts w:ascii="仿宋_GB2312" w:eastAsia="仿宋_GB2312" w:hAnsi="仿宋" w:cs="Times New Roman" w:hint="eastAsia"/>
          <w:b/>
          <w:sz w:val="32"/>
          <w:szCs w:val="32"/>
        </w:rPr>
        <w:t>研究范围及要求：</w:t>
      </w:r>
      <w:r w:rsidR="00591055" w:rsidRPr="00591055">
        <w:rPr>
          <w:rFonts w:ascii="仿宋_GB2312" w:eastAsia="仿宋_GB2312" w:hAnsi="仿宋" w:cs="Times New Roman"/>
          <w:sz w:val="32"/>
          <w:szCs w:val="32"/>
        </w:rPr>
        <w:t>对制度实践过程中所暴露的</w:t>
      </w:r>
      <w:r w:rsidR="00591055" w:rsidRPr="00591055">
        <w:rPr>
          <w:rFonts w:ascii="仿宋_GB2312" w:eastAsia="仿宋_GB2312" w:hAnsi="仿宋" w:cs="Times New Roman" w:hint="eastAsia"/>
          <w:sz w:val="32"/>
          <w:szCs w:val="32"/>
        </w:rPr>
        <w:t>问题</w:t>
      </w:r>
      <w:r w:rsidR="00591055" w:rsidRPr="00591055">
        <w:rPr>
          <w:rFonts w:ascii="仿宋_GB2312" w:eastAsia="仿宋_GB2312" w:hAnsi="仿宋" w:cs="Times New Roman"/>
          <w:sz w:val="32"/>
          <w:szCs w:val="32"/>
        </w:rPr>
        <w:t>进行</w:t>
      </w:r>
      <w:r w:rsidR="001D1DC2">
        <w:rPr>
          <w:rFonts w:ascii="仿宋_GB2312" w:eastAsia="仿宋_GB2312" w:hAnsi="仿宋" w:cs="Times New Roman" w:hint="eastAsia"/>
          <w:sz w:val="32"/>
          <w:szCs w:val="32"/>
        </w:rPr>
        <w:t>梳理</w:t>
      </w:r>
      <w:r w:rsidR="00591055" w:rsidRPr="00591055">
        <w:rPr>
          <w:rFonts w:ascii="仿宋_GB2312" w:eastAsia="仿宋_GB2312" w:hAnsi="仿宋" w:cs="Times New Roman"/>
          <w:sz w:val="32"/>
          <w:szCs w:val="32"/>
        </w:rPr>
        <w:t>,</w:t>
      </w:r>
      <w:r w:rsidR="00DB08C4" w:rsidRPr="007A10EB">
        <w:rPr>
          <w:rFonts w:ascii="仿宋_GB2312" w:eastAsia="仿宋_GB2312" w:hAnsi="仿宋" w:cs="Times New Roman"/>
          <w:sz w:val="32"/>
          <w:szCs w:val="32"/>
        </w:rPr>
        <w:t xml:space="preserve"> 从完善立法、明确规范设定权、</w:t>
      </w:r>
      <w:r w:rsidR="00DB08C4" w:rsidRPr="00591055">
        <w:rPr>
          <w:rFonts w:ascii="仿宋_GB2312" w:eastAsia="仿宋_GB2312" w:hAnsi="仿宋" w:cs="Times New Roman"/>
          <w:sz w:val="32"/>
          <w:szCs w:val="32"/>
        </w:rPr>
        <w:t>适用范围</w:t>
      </w:r>
      <w:r w:rsidR="00DB08C4" w:rsidRPr="007A10EB">
        <w:rPr>
          <w:rFonts w:ascii="仿宋_GB2312" w:eastAsia="仿宋_GB2312" w:hAnsi="仿宋" w:cs="Times New Roman"/>
          <w:sz w:val="32"/>
          <w:szCs w:val="32"/>
        </w:rPr>
        <w:t>、优化程序和法律责任设置等</w:t>
      </w:r>
      <w:r w:rsidR="00591055" w:rsidRPr="00591055">
        <w:rPr>
          <w:rFonts w:ascii="仿宋_GB2312" w:eastAsia="仿宋_GB2312" w:hAnsi="仿宋" w:cs="Times New Roman" w:hint="eastAsia"/>
          <w:sz w:val="32"/>
          <w:szCs w:val="32"/>
        </w:rPr>
        <w:t>角度</w:t>
      </w:r>
      <w:r w:rsidR="00AE5CFF">
        <w:rPr>
          <w:rFonts w:ascii="仿宋_GB2312" w:eastAsia="仿宋_GB2312" w:hAnsi="仿宋" w:cs="Times New Roman" w:hint="eastAsia"/>
          <w:sz w:val="32"/>
          <w:szCs w:val="32"/>
        </w:rPr>
        <w:t>开展</w:t>
      </w:r>
      <w:r w:rsidR="00DB08C4">
        <w:rPr>
          <w:rFonts w:ascii="仿宋_GB2312" w:eastAsia="仿宋_GB2312" w:hAnsi="仿宋" w:cs="Times New Roman" w:hint="eastAsia"/>
          <w:sz w:val="32"/>
          <w:szCs w:val="32"/>
        </w:rPr>
        <w:t>研究</w:t>
      </w:r>
      <w:r w:rsidR="00591055" w:rsidRPr="00591055">
        <w:rPr>
          <w:rFonts w:ascii="仿宋_GB2312" w:eastAsia="仿宋_GB2312" w:hAnsi="仿宋" w:cs="Times New Roman"/>
          <w:sz w:val="32"/>
          <w:szCs w:val="32"/>
        </w:rPr>
        <w:t>。</w:t>
      </w:r>
    </w:p>
    <w:p w:rsidR="005D0208" w:rsidRDefault="005D0208" w:rsidP="005D0208">
      <w:pPr>
        <w:adjustRightInd w:val="0"/>
        <w:snapToGrid w:val="0"/>
        <w:spacing w:line="590" w:lineRule="exact"/>
        <w:ind w:firstLineChars="200" w:firstLine="640"/>
        <w:rPr>
          <w:rFonts w:ascii="仿宋_GB2312" w:eastAsia="仿宋_GB2312" w:hAnsi="仿宋" w:cs="Times New Roman"/>
          <w:sz w:val="32"/>
          <w:szCs w:val="32"/>
        </w:rPr>
      </w:pPr>
    </w:p>
    <w:p w:rsidR="007D01BB" w:rsidRPr="005D0208" w:rsidRDefault="007D01BB" w:rsidP="005D0208">
      <w:pPr>
        <w:adjustRightInd w:val="0"/>
        <w:snapToGrid w:val="0"/>
        <w:spacing w:line="590" w:lineRule="exact"/>
        <w:ind w:firstLineChars="200" w:firstLine="640"/>
        <w:rPr>
          <w:rFonts w:ascii="仿宋_GB2312" w:eastAsia="仿宋_GB2312" w:hAnsi="仿宋" w:cs="Times New Roman"/>
          <w:sz w:val="32"/>
          <w:szCs w:val="32"/>
        </w:rPr>
      </w:pPr>
      <w:r w:rsidRPr="00422EB3">
        <w:rPr>
          <w:rFonts w:ascii="楷体_GB2312" w:eastAsia="楷体_GB2312" w:hAnsi="黑体" w:cs="宋体" w:hint="eastAsia"/>
          <w:color w:val="000000" w:themeColor="text1"/>
          <w:kern w:val="0"/>
          <w:sz w:val="32"/>
          <w:szCs w:val="32"/>
        </w:rPr>
        <w:t>2.《中华人民共和国社区矫正法》视野下社区矫正对象社会融入问题研究（编号：2020jssf002）</w:t>
      </w:r>
    </w:p>
    <w:p w:rsidR="007D01BB" w:rsidRPr="007E16B7" w:rsidRDefault="007D01BB" w:rsidP="00422EB3">
      <w:pPr>
        <w:adjustRightInd w:val="0"/>
        <w:snapToGrid w:val="0"/>
        <w:spacing w:line="590" w:lineRule="exact"/>
        <w:ind w:firstLineChars="200" w:firstLine="643"/>
        <w:rPr>
          <w:rFonts w:ascii="仿宋_GB2312" w:eastAsia="仿宋_GB2312" w:hAnsi="仿宋" w:cs="Times New Roman"/>
          <w:sz w:val="32"/>
          <w:szCs w:val="32"/>
        </w:rPr>
      </w:pPr>
      <w:r w:rsidRPr="00422EB3">
        <w:rPr>
          <w:rFonts w:ascii="仿宋_GB2312" w:eastAsia="仿宋_GB2312" w:hAnsi="仿宋" w:cs="Times New Roman" w:hint="eastAsia"/>
          <w:b/>
          <w:sz w:val="32"/>
          <w:szCs w:val="32"/>
        </w:rPr>
        <w:t>课题的必要性：</w:t>
      </w:r>
      <w:r w:rsidRPr="007E16B7">
        <w:rPr>
          <w:rFonts w:ascii="仿宋_GB2312" w:eastAsia="仿宋_GB2312" w:hAnsi="仿宋" w:cs="Times New Roman" w:hint="eastAsia"/>
          <w:sz w:val="32"/>
          <w:szCs w:val="32"/>
        </w:rPr>
        <w:t>社区矫正对象能否顺利融入社会,实现再社会化,是社区矫正制度的目标,也是衡量社区矫正制度成功与否的重要标准。</w:t>
      </w:r>
      <w:r w:rsidR="004F25D3" w:rsidRPr="008D650D">
        <w:rPr>
          <w:rFonts w:ascii="仿宋_GB2312" w:eastAsia="仿宋_GB2312" w:hAnsi="仿宋" w:cs="Times New Roman" w:hint="eastAsia"/>
          <w:sz w:val="32"/>
          <w:szCs w:val="32"/>
        </w:rPr>
        <w:t>2019年12月</w:t>
      </w:r>
      <w:r w:rsidR="004F25D3">
        <w:rPr>
          <w:rFonts w:ascii="仿宋_GB2312" w:eastAsia="仿宋_GB2312" w:hAnsi="仿宋" w:cs="Times New Roman" w:hint="eastAsia"/>
          <w:sz w:val="32"/>
          <w:szCs w:val="32"/>
        </w:rPr>
        <w:t>，</w:t>
      </w:r>
      <w:r w:rsidRPr="008D650D">
        <w:rPr>
          <w:rFonts w:ascii="仿宋_GB2312" w:eastAsia="仿宋_GB2312" w:hAnsi="仿宋" w:cs="Times New Roman" w:hint="eastAsia"/>
          <w:sz w:val="32"/>
          <w:szCs w:val="32"/>
        </w:rPr>
        <w:t>第十三届全国人民代表大会常务委员会第十五次会议通</w:t>
      </w:r>
      <w:r w:rsidR="004F25D3">
        <w:rPr>
          <w:rFonts w:ascii="仿宋_GB2312" w:eastAsia="仿宋_GB2312" w:hAnsi="仿宋" w:cs="Times New Roman" w:hint="eastAsia"/>
          <w:sz w:val="32"/>
          <w:szCs w:val="32"/>
        </w:rPr>
        <w:t>过</w:t>
      </w:r>
      <w:r>
        <w:rPr>
          <w:rFonts w:ascii="仿宋_GB2312" w:eastAsia="仿宋_GB2312" w:hAnsi="仿宋" w:cs="Times New Roman" w:hint="eastAsia"/>
          <w:sz w:val="32"/>
          <w:szCs w:val="32"/>
        </w:rPr>
        <w:t>的</w:t>
      </w:r>
      <w:r w:rsidRPr="008D650D">
        <w:rPr>
          <w:rFonts w:ascii="仿宋_GB2312" w:eastAsia="仿宋_GB2312" w:hAnsi="仿宋" w:cs="Times New Roman" w:hint="eastAsia"/>
          <w:sz w:val="32"/>
          <w:szCs w:val="32"/>
        </w:rPr>
        <w:t>《中华人民共和国社区矫正法》，明确了促进社</w:t>
      </w:r>
      <w:r w:rsidRPr="008D650D">
        <w:rPr>
          <w:rFonts w:ascii="仿宋_GB2312" w:eastAsia="仿宋_GB2312" w:hAnsi="仿宋" w:cs="Times New Roman" w:hint="eastAsia"/>
          <w:sz w:val="32"/>
          <w:szCs w:val="32"/>
        </w:rPr>
        <w:lastRenderedPageBreak/>
        <w:t>区矫正对象顺利融入社会，预防和减少犯罪的工作目标、方向和要求。为进一步落实社区矫正法有关要求，在新法视野下就社区矫正对象社会融入问题开展研究，</w:t>
      </w:r>
      <w:r>
        <w:rPr>
          <w:rFonts w:ascii="仿宋_GB2312" w:eastAsia="仿宋_GB2312" w:hAnsi="仿宋" w:cs="Times New Roman" w:hint="eastAsia"/>
          <w:sz w:val="32"/>
          <w:szCs w:val="32"/>
        </w:rPr>
        <w:t>切实</w:t>
      </w:r>
      <w:r w:rsidRPr="008D650D">
        <w:rPr>
          <w:rFonts w:ascii="仿宋_GB2312" w:eastAsia="仿宋_GB2312" w:hAnsi="仿宋" w:cs="Times New Roman" w:hint="eastAsia"/>
          <w:sz w:val="32"/>
          <w:szCs w:val="32"/>
        </w:rPr>
        <w:t>推进和规范社区矫正工</w:t>
      </w:r>
      <w:r>
        <w:rPr>
          <w:rFonts w:ascii="仿宋_GB2312" w:eastAsia="仿宋_GB2312" w:hAnsi="仿宋" w:cs="Times New Roman" w:hint="eastAsia"/>
          <w:sz w:val="32"/>
          <w:szCs w:val="32"/>
        </w:rPr>
        <w:t>作，提高</w:t>
      </w:r>
      <w:r w:rsidRPr="008D650D">
        <w:rPr>
          <w:rFonts w:ascii="仿宋_GB2312" w:eastAsia="仿宋_GB2312" w:hAnsi="仿宋" w:cs="Times New Roman" w:hint="eastAsia"/>
          <w:sz w:val="32"/>
          <w:szCs w:val="32"/>
        </w:rPr>
        <w:t>矫正质量</w:t>
      </w:r>
      <w:r>
        <w:rPr>
          <w:rFonts w:ascii="仿宋_GB2312" w:eastAsia="仿宋_GB2312" w:hAnsi="仿宋" w:cs="Times New Roman" w:hint="eastAsia"/>
          <w:sz w:val="32"/>
          <w:szCs w:val="32"/>
        </w:rPr>
        <w:t>，</w:t>
      </w:r>
      <w:r w:rsidRPr="007E16B7">
        <w:rPr>
          <w:rFonts w:ascii="仿宋_GB2312" w:eastAsia="仿宋_GB2312" w:hAnsi="仿宋" w:cs="Times New Roman" w:hint="eastAsia"/>
          <w:sz w:val="32"/>
          <w:szCs w:val="32"/>
        </w:rPr>
        <w:t>预防</w:t>
      </w:r>
      <w:r w:rsidR="001D1DC2">
        <w:rPr>
          <w:rFonts w:ascii="仿宋_GB2312" w:eastAsia="仿宋_GB2312" w:hAnsi="仿宋" w:cs="Times New Roman" w:hint="eastAsia"/>
          <w:sz w:val="32"/>
          <w:szCs w:val="32"/>
        </w:rPr>
        <w:t>和减少犯罪，维护社会和谐稳定，为推进平安中国、法治中国建设发挥</w:t>
      </w:r>
      <w:r w:rsidRPr="007E16B7">
        <w:rPr>
          <w:rFonts w:ascii="仿宋_GB2312" w:eastAsia="仿宋_GB2312" w:hAnsi="仿宋" w:cs="Times New Roman" w:hint="eastAsia"/>
          <w:sz w:val="32"/>
          <w:szCs w:val="32"/>
        </w:rPr>
        <w:t>积极作用。</w:t>
      </w:r>
      <w:r w:rsidRPr="007E16B7">
        <w:rPr>
          <w:rFonts w:ascii="仿宋_GB2312" w:eastAsia="仿宋_GB2312" w:hAnsi="仿宋" w:cs="Times New Roman"/>
          <w:sz w:val="32"/>
          <w:szCs w:val="32"/>
        </w:rPr>
        <w:tab/>
      </w:r>
    </w:p>
    <w:p w:rsidR="007D01BB" w:rsidRDefault="007D01BB" w:rsidP="00422EB3">
      <w:pPr>
        <w:adjustRightInd w:val="0"/>
        <w:snapToGrid w:val="0"/>
        <w:spacing w:line="590" w:lineRule="exact"/>
        <w:ind w:firstLineChars="200" w:firstLine="643"/>
        <w:rPr>
          <w:rFonts w:ascii="仿宋_GB2312" w:eastAsia="仿宋_GB2312" w:hAnsi="仿宋" w:cs="Times New Roman"/>
          <w:sz w:val="32"/>
          <w:szCs w:val="32"/>
        </w:rPr>
      </w:pPr>
      <w:r w:rsidRPr="00422EB3">
        <w:rPr>
          <w:rFonts w:ascii="仿宋_GB2312" w:eastAsia="仿宋_GB2312" w:hAnsi="仿宋" w:cs="Times New Roman" w:hint="eastAsia"/>
          <w:b/>
          <w:sz w:val="32"/>
          <w:szCs w:val="32"/>
        </w:rPr>
        <w:t>研究范围及要求：</w:t>
      </w:r>
      <w:r w:rsidRPr="007E16B7">
        <w:rPr>
          <w:rFonts w:ascii="仿宋_GB2312" w:eastAsia="仿宋_GB2312" w:hAnsi="仿宋" w:cs="Times New Roman" w:hint="eastAsia"/>
          <w:sz w:val="32"/>
          <w:szCs w:val="32"/>
        </w:rPr>
        <w:t>在社区矫正法背景下，围绕促进和落实社区矫正对象顺利融入社会这一立法目的，从提</w:t>
      </w:r>
      <w:r w:rsidR="001D1DC2">
        <w:rPr>
          <w:rFonts w:ascii="仿宋_GB2312" w:eastAsia="仿宋_GB2312" w:hAnsi="仿宋" w:cs="Times New Roman" w:hint="eastAsia"/>
          <w:sz w:val="32"/>
          <w:szCs w:val="32"/>
        </w:rPr>
        <w:t>升社区矫正执法水平、激发社区矫正创新活力、强化社区矫正服务保障及</w:t>
      </w:r>
      <w:r w:rsidRPr="007E16B7">
        <w:rPr>
          <w:rFonts w:ascii="仿宋_GB2312" w:eastAsia="仿宋_GB2312" w:hAnsi="仿宋" w:cs="Times New Roman" w:hint="eastAsia"/>
          <w:sz w:val="32"/>
          <w:szCs w:val="32"/>
        </w:rPr>
        <w:t>社区矫正转型升级等方面开展研究。</w:t>
      </w:r>
    </w:p>
    <w:p w:rsidR="00F7678D" w:rsidRPr="007D01BB" w:rsidRDefault="00F7678D" w:rsidP="00422EB3">
      <w:pPr>
        <w:adjustRightInd w:val="0"/>
        <w:snapToGrid w:val="0"/>
        <w:spacing w:line="590" w:lineRule="exact"/>
        <w:rPr>
          <w:rFonts w:ascii="仿宋" w:eastAsia="仿宋" w:hAnsi="仿宋" w:cs="Times New Roman"/>
          <w:color w:val="000000" w:themeColor="text1"/>
          <w:sz w:val="32"/>
          <w:szCs w:val="32"/>
        </w:rPr>
      </w:pPr>
    </w:p>
    <w:p w:rsidR="00AF3518" w:rsidRPr="00422EB3" w:rsidRDefault="00A1075E" w:rsidP="00422EB3">
      <w:pPr>
        <w:adjustRightInd w:val="0"/>
        <w:snapToGrid w:val="0"/>
        <w:spacing w:line="590" w:lineRule="exact"/>
        <w:ind w:firstLineChars="200" w:firstLine="640"/>
        <w:rPr>
          <w:rFonts w:ascii="黑体" w:eastAsia="黑体" w:hAnsi="黑体" w:cs="Times New Roman"/>
          <w:color w:val="000000" w:themeColor="text1"/>
          <w:sz w:val="32"/>
          <w:szCs w:val="32"/>
        </w:rPr>
      </w:pPr>
      <w:r w:rsidRPr="00422EB3">
        <w:rPr>
          <w:rFonts w:ascii="黑体" w:eastAsia="黑体" w:hAnsi="黑体" w:cs="Times New Roman" w:hint="eastAsia"/>
          <w:color w:val="000000" w:themeColor="text1"/>
          <w:sz w:val="32"/>
          <w:szCs w:val="32"/>
        </w:rPr>
        <w:t>二、</w:t>
      </w:r>
      <w:r w:rsidR="00AF3518" w:rsidRPr="00422EB3">
        <w:rPr>
          <w:rFonts w:ascii="黑体" w:eastAsia="黑体" w:hAnsi="黑体" w:cs="Times New Roman" w:hint="eastAsia"/>
          <w:color w:val="000000" w:themeColor="text1"/>
          <w:sz w:val="32"/>
          <w:szCs w:val="32"/>
        </w:rPr>
        <w:t>一般</w:t>
      </w:r>
      <w:r w:rsidR="00723E3E" w:rsidRPr="00422EB3">
        <w:rPr>
          <w:rFonts w:ascii="黑体" w:eastAsia="黑体" w:hAnsi="黑体" w:cs="Times New Roman" w:hint="eastAsia"/>
          <w:color w:val="000000" w:themeColor="text1"/>
          <w:sz w:val="32"/>
          <w:szCs w:val="32"/>
        </w:rPr>
        <w:t>课</w:t>
      </w:r>
      <w:r w:rsidR="00AF3518" w:rsidRPr="00422EB3">
        <w:rPr>
          <w:rFonts w:ascii="黑体" w:eastAsia="黑体" w:hAnsi="黑体" w:cs="Times New Roman" w:hint="eastAsia"/>
          <w:color w:val="000000" w:themeColor="text1"/>
          <w:sz w:val="32"/>
          <w:szCs w:val="32"/>
        </w:rPr>
        <w:t>题</w:t>
      </w:r>
    </w:p>
    <w:p w:rsidR="00AF3518" w:rsidRPr="00422EB3" w:rsidRDefault="00A1075E" w:rsidP="00422EB3">
      <w:pPr>
        <w:adjustRightInd w:val="0"/>
        <w:snapToGrid w:val="0"/>
        <w:spacing w:line="590" w:lineRule="exact"/>
        <w:ind w:firstLineChars="200" w:firstLine="640"/>
        <w:rPr>
          <w:rFonts w:ascii="楷体_GB2312" w:eastAsia="楷体_GB2312" w:hAnsi="黑体" w:cs="宋体"/>
          <w:color w:val="000000" w:themeColor="text1"/>
          <w:kern w:val="0"/>
          <w:sz w:val="32"/>
          <w:szCs w:val="32"/>
        </w:rPr>
      </w:pPr>
      <w:r w:rsidRPr="00422EB3">
        <w:rPr>
          <w:rFonts w:ascii="楷体_GB2312" w:eastAsia="楷体_GB2312" w:hAnsi="黑体" w:cs="宋体" w:hint="eastAsia"/>
          <w:color w:val="000000" w:themeColor="text1"/>
          <w:kern w:val="0"/>
          <w:sz w:val="32"/>
          <w:szCs w:val="32"/>
        </w:rPr>
        <w:t>3.</w:t>
      </w:r>
      <w:r w:rsidR="00AF3518" w:rsidRPr="00422EB3">
        <w:rPr>
          <w:rFonts w:ascii="楷体_GB2312" w:eastAsia="楷体_GB2312" w:hAnsi="黑体" w:cs="宋体" w:hint="eastAsia"/>
          <w:color w:val="000000" w:themeColor="text1"/>
          <w:kern w:val="0"/>
          <w:sz w:val="32"/>
          <w:szCs w:val="32"/>
        </w:rPr>
        <w:t>强化突发公共卫生应急事件法治保障研究</w:t>
      </w:r>
      <w:r w:rsidRPr="00422EB3">
        <w:rPr>
          <w:rFonts w:ascii="楷体_GB2312" w:eastAsia="楷体_GB2312" w:hAnsi="黑体" w:cs="宋体" w:hint="eastAsia"/>
          <w:color w:val="000000" w:themeColor="text1"/>
          <w:kern w:val="0"/>
          <w:sz w:val="32"/>
          <w:szCs w:val="32"/>
        </w:rPr>
        <w:t>（编号：2020jssf003）</w:t>
      </w:r>
    </w:p>
    <w:p w:rsidR="00014BC8" w:rsidRDefault="00A1075E" w:rsidP="00422EB3">
      <w:pPr>
        <w:adjustRightInd w:val="0"/>
        <w:snapToGrid w:val="0"/>
        <w:spacing w:line="590" w:lineRule="exact"/>
        <w:ind w:firstLineChars="200" w:firstLine="643"/>
        <w:rPr>
          <w:rFonts w:ascii="仿宋_GB2312" w:eastAsia="仿宋_GB2312" w:hAnsi="仿宋" w:cs="Times New Roman"/>
          <w:color w:val="000000" w:themeColor="text1"/>
          <w:sz w:val="32"/>
          <w:szCs w:val="32"/>
        </w:rPr>
      </w:pPr>
      <w:r w:rsidRPr="00422EB3">
        <w:rPr>
          <w:rFonts w:ascii="仿宋_GB2312" w:eastAsia="仿宋_GB2312" w:hAnsi="仿宋" w:cs="Times New Roman" w:hint="eastAsia"/>
          <w:b/>
          <w:sz w:val="32"/>
          <w:szCs w:val="32"/>
        </w:rPr>
        <w:t>课题的必要性：</w:t>
      </w:r>
      <w:r w:rsidR="00014BC8" w:rsidRPr="00444E04">
        <w:rPr>
          <w:rFonts w:ascii="仿宋_GB2312" w:eastAsia="仿宋_GB2312" w:hAnsi="仿宋" w:cs="Times New Roman" w:hint="eastAsia"/>
          <w:color w:val="000000" w:themeColor="text1"/>
          <w:sz w:val="32"/>
          <w:szCs w:val="32"/>
        </w:rPr>
        <w:t>运用法治思维和法治方式应对和化解风险，是国家治理体系和治理能力现代化的一个重要标志。习近平总书记在</w:t>
      </w:r>
      <w:r w:rsidR="00AE5CFF">
        <w:rPr>
          <w:rFonts w:ascii="仿宋_GB2312" w:eastAsia="仿宋_GB2312" w:hAnsi="仿宋" w:cs="Times New Roman" w:hint="eastAsia"/>
          <w:color w:val="000000" w:themeColor="text1"/>
          <w:sz w:val="32"/>
          <w:szCs w:val="32"/>
        </w:rPr>
        <w:t>2020年</w:t>
      </w:r>
      <w:r w:rsidR="00014BC8" w:rsidRPr="00444E04">
        <w:rPr>
          <w:rFonts w:ascii="仿宋_GB2312" w:eastAsia="仿宋_GB2312" w:hAnsi="仿宋" w:cs="Times New Roman" w:hint="eastAsia"/>
          <w:color w:val="000000" w:themeColor="text1"/>
          <w:sz w:val="32"/>
          <w:szCs w:val="32"/>
        </w:rPr>
        <w:t>2月5日召开的中央全面依法治国委员会第三次会议上指出，要严格执行疫情防控和应急处置法律法规，加强风险评估，依法审慎决策，严格依法实施防控措施，坚决防止疫情蔓延。在党的坚强领导下，新冠肺炎疫情防控工作始终沿着法治化道路不断迈进，但同时遇到一些问题，需要从顶层设计上重新审视和评估当前公共卫生应急法治保障方面的短板和不足，进一步建立、完善</w:t>
      </w:r>
      <w:r w:rsidR="005C5D4D">
        <w:rPr>
          <w:rFonts w:ascii="仿宋_GB2312" w:eastAsia="仿宋_GB2312" w:hAnsi="仿宋" w:cs="Times New Roman" w:hint="eastAsia"/>
          <w:color w:val="000000" w:themeColor="text1"/>
          <w:sz w:val="32"/>
          <w:szCs w:val="32"/>
        </w:rPr>
        <w:t>公共卫生应急处置</w:t>
      </w:r>
      <w:r w:rsidR="001D1DC2">
        <w:rPr>
          <w:rFonts w:ascii="仿宋_GB2312" w:eastAsia="仿宋_GB2312" w:hAnsi="仿宋" w:cs="Times New Roman" w:hint="eastAsia"/>
          <w:color w:val="000000" w:themeColor="text1"/>
          <w:sz w:val="32"/>
          <w:szCs w:val="32"/>
        </w:rPr>
        <w:t>工作中的风险防控、疫情应对等各项机制，</w:t>
      </w:r>
      <w:r w:rsidR="003279A6" w:rsidRPr="003279A6">
        <w:rPr>
          <w:rFonts w:ascii="仿宋_GB2312" w:eastAsia="仿宋_GB2312" w:hAnsi="仿宋" w:cs="Times New Roman" w:hint="eastAsia"/>
          <w:color w:val="000000" w:themeColor="text1"/>
          <w:sz w:val="32"/>
          <w:szCs w:val="32"/>
        </w:rPr>
        <w:t>用法治方式防范化解重大风险，</w:t>
      </w:r>
      <w:r w:rsidR="005C5D4D" w:rsidRPr="005C5D4D">
        <w:rPr>
          <w:rFonts w:ascii="仿宋_GB2312" w:eastAsia="仿宋_GB2312" w:hAnsi="仿宋" w:cs="Times New Roman" w:hint="eastAsia"/>
          <w:color w:val="000000" w:themeColor="text1"/>
          <w:sz w:val="32"/>
          <w:szCs w:val="32"/>
        </w:rPr>
        <w:t>为健全公共卫生应急管理体系提</w:t>
      </w:r>
      <w:r w:rsidR="005C5D4D" w:rsidRPr="005C5D4D">
        <w:rPr>
          <w:rFonts w:ascii="仿宋_GB2312" w:eastAsia="仿宋_GB2312" w:hAnsi="仿宋" w:cs="Times New Roman" w:hint="eastAsia"/>
          <w:color w:val="000000" w:themeColor="text1"/>
          <w:sz w:val="32"/>
          <w:szCs w:val="32"/>
        </w:rPr>
        <w:lastRenderedPageBreak/>
        <w:t>供坚强的法治保障</w:t>
      </w:r>
      <w:r w:rsidR="005C5D4D">
        <w:rPr>
          <w:rFonts w:ascii="仿宋_GB2312" w:eastAsia="仿宋_GB2312" w:hAnsi="仿宋" w:cs="Times New Roman" w:hint="eastAsia"/>
          <w:color w:val="000000" w:themeColor="text1"/>
          <w:sz w:val="32"/>
          <w:szCs w:val="32"/>
        </w:rPr>
        <w:t>。</w:t>
      </w:r>
    </w:p>
    <w:p w:rsidR="005D0208" w:rsidRDefault="00A1075E" w:rsidP="00831130">
      <w:pPr>
        <w:adjustRightInd w:val="0"/>
        <w:snapToGrid w:val="0"/>
        <w:spacing w:line="590" w:lineRule="exact"/>
        <w:ind w:firstLineChars="200" w:firstLine="643"/>
        <w:rPr>
          <w:rFonts w:ascii="仿宋_GB2312" w:eastAsia="仿宋_GB2312" w:hAnsi="仿宋" w:cs="Times New Roman" w:hint="eastAsia"/>
          <w:color w:val="000000" w:themeColor="text1"/>
          <w:sz w:val="32"/>
          <w:szCs w:val="32"/>
        </w:rPr>
      </w:pPr>
      <w:r w:rsidRPr="00422EB3">
        <w:rPr>
          <w:rFonts w:ascii="仿宋_GB2312" w:eastAsia="仿宋_GB2312" w:hAnsi="仿宋" w:cs="Times New Roman" w:hint="eastAsia"/>
          <w:b/>
          <w:sz w:val="32"/>
          <w:szCs w:val="32"/>
        </w:rPr>
        <w:t>研究范围及要求：</w:t>
      </w:r>
      <w:r w:rsidR="00CB0BD3" w:rsidRPr="00F42040">
        <w:rPr>
          <w:rFonts w:ascii="仿宋_GB2312" w:eastAsia="仿宋_GB2312" w:hAnsi="仿宋" w:cs="Times New Roman" w:hint="eastAsia"/>
          <w:color w:val="000000" w:themeColor="text1"/>
          <w:sz w:val="32"/>
          <w:szCs w:val="32"/>
        </w:rPr>
        <w:t>分析当</w:t>
      </w:r>
      <w:r w:rsidR="00CB0BD3" w:rsidRPr="00444E04">
        <w:rPr>
          <w:rFonts w:ascii="仿宋_GB2312" w:eastAsia="仿宋_GB2312" w:hAnsi="仿宋" w:cs="Times New Roman" w:hint="eastAsia"/>
          <w:color w:val="000000" w:themeColor="text1"/>
          <w:sz w:val="32"/>
          <w:szCs w:val="32"/>
        </w:rPr>
        <w:t>前公共卫生应急法治保障方面的短板和不足</w:t>
      </w:r>
      <w:r w:rsidR="00F42040">
        <w:rPr>
          <w:rFonts w:ascii="仿宋_GB2312" w:eastAsia="仿宋_GB2312" w:hAnsi="仿宋" w:cs="Times New Roman" w:hint="eastAsia"/>
          <w:color w:val="000000" w:themeColor="text1"/>
          <w:sz w:val="32"/>
          <w:szCs w:val="32"/>
        </w:rPr>
        <w:t>，</w:t>
      </w:r>
      <w:r w:rsidR="004279C6" w:rsidRPr="004279C6">
        <w:rPr>
          <w:rFonts w:ascii="仿宋_GB2312" w:eastAsia="仿宋_GB2312" w:hAnsi="仿宋" w:cs="Times New Roman" w:hint="eastAsia"/>
          <w:color w:val="000000" w:themeColor="text1"/>
          <w:sz w:val="32"/>
          <w:szCs w:val="32"/>
        </w:rPr>
        <w:t>对</w:t>
      </w:r>
      <w:r w:rsidR="00F42040">
        <w:rPr>
          <w:rFonts w:ascii="仿宋_GB2312" w:eastAsia="仿宋_GB2312" w:hAnsi="仿宋" w:cs="Times New Roman" w:hint="eastAsia"/>
          <w:color w:val="000000" w:themeColor="text1"/>
          <w:sz w:val="32"/>
          <w:szCs w:val="32"/>
        </w:rPr>
        <w:t>建立</w:t>
      </w:r>
      <w:r w:rsidR="00CB0BD3">
        <w:rPr>
          <w:rFonts w:ascii="仿宋_GB2312" w:eastAsia="仿宋_GB2312" w:hAnsi="仿宋" w:cs="Times New Roman" w:hint="eastAsia"/>
          <w:color w:val="000000" w:themeColor="text1"/>
          <w:sz w:val="32"/>
          <w:szCs w:val="32"/>
        </w:rPr>
        <w:t>健全</w:t>
      </w:r>
      <w:r w:rsidR="00CD15FA" w:rsidRPr="004279C6">
        <w:rPr>
          <w:rFonts w:ascii="仿宋_GB2312" w:eastAsia="仿宋_GB2312" w:hAnsi="仿宋" w:cs="Times New Roman" w:hint="eastAsia"/>
          <w:color w:val="000000" w:themeColor="text1"/>
          <w:sz w:val="32"/>
          <w:szCs w:val="32"/>
        </w:rPr>
        <w:t>公共卫生应急法律</w:t>
      </w:r>
      <w:r w:rsidR="00CB0BD3">
        <w:rPr>
          <w:rFonts w:ascii="仿宋_GB2312" w:eastAsia="仿宋_GB2312" w:hAnsi="仿宋" w:cs="Times New Roman" w:hint="eastAsia"/>
          <w:color w:val="000000" w:themeColor="text1"/>
          <w:sz w:val="32"/>
          <w:szCs w:val="32"/>
        </w:rPr>
        <w:t>规范</w:t>
      </w:r>
      <w:r w:rsidR="00CD15FA" w:rsidRPr="004279C6">
        <w:rPr>
          <w:rFonts w:ascii="仿宋_GB2312" w:eastAsia="仿宋_GB2312" w:hAnsi="仿宋" w:cs="Times New Roman" w:hint="eastAsia"/>
          <w:color w:val="000000" w:themeColor="text1"/>
          <w:sz w:val="32"/>
          <w:szCs w:val="32"/>
        </w:rPr>
        <w:t>，</w:t>
      </w:r>
      <w:r w:rsidR="00F42040">
        <w:rPr>
          <w:rFonts w:ascii="仿宋_GB2312" w:eastAsia="仿宋_GB2312" w:hAnsi="仿宋" w:cs="Times New Roman" w:hint="eastAsia"/>
          <w:color w:val="000000" w:themeColor="text1"/>
          <w:sz w:val="32"/>
          <w:szCs w:val="32"/>
        </w:rPr>
        <w:t>完善应急</w:t>
      </w:r>
      <w:r w:rsidR="00F42040" w:rsidRPr="00F42040">
        <w:rPr>
          <w:rFonts w:ascii="仿宋_GB2312" w:eastAsia="仿宋_GB2312" w:hAnsi="仿宋" w:cs="Times New Roman"/>
          <w:color w:val="000000" w:themeColor="text1"/>
          <w:sz w:val="32"/>
          <w:szCs w:val="32"/>
        </w:rPr>
        <w:t>预案、</w:t>
      </w:r>
      <w:r w:rsidR="00F42040" w:rsidRPr="00F42040">
        <w:rPr>
          <w:rFonts w:ascii="仿宋_GB2312" w:eastAsia="仿宋_GB2312" w:hAnsi="仿宋" w:cs="Times New Roman" w:hint="eastAsia"/>
          <w:color w:val="000000" w:themeColor="text1"/>
          <w:sz w:val="32"/>
          <w:szCs w:val="32"/>
        </w:rPr>
        <w:t>应急</w:t>
      </w:r>
      <w:r w:rsidR="00F42040" w:rsidRPr="00F42040">
        <w:rPr>
          <w:rFonts w:ascii="仿宋_GB2312" w:eastAsia="仿宋_GB2312" w:hAnsi="仿宋" w:cs="Times New Roman"/>
          <w:color w:val="000000" w:themeColor="text1"/>
          <w:sz w:val="32"/>
          <w:szCs w:val="32"/>
        </w:rPr>
        <w:t>决策、信息公开、权利救济等方面</w:t>
      </w:r>
      <w:r w:rsidR="00F42040">
        <w:rPr>
          <w:rFonts w:ascii="仿宋_GB2312" w:eastAsia="仿宋_GB2312" w:hAnsi="仿宋" w:cs="Times New Roman" w:hint="eastAsia"/>
          <w:color w:val="000000" w:themeColor="text1"/>
          <w:sz w:val="32"/>
          <w:szCs w:val="32"/>
        </w:rPr>
        <w:t>如何强化</w:t>
      </w:r>
      <w:r w:rsidR="00CB0BD3">
        <w:rPr>
          <w:rFonts w:ascii="仿宋_GB2312" w:eastAsia="仿宋_GB2312" w:hAnsi="仿宋" w:cs="Times New Roman" w:hint="eastAsia"/>
          <w:color w:val="000000" w:themeColor="text1"/>
          <w:sz w:val="32"/>
          <w:szCs w:val="32"/>
        </w:rPr>
        <w:t>法治保障</w:t>
      </w:r>
      <w:r w:rsidR="004279C6">
        <w:rPr>
          <w:rFonts w:ascii="仿宋_GB2312" w:eastAsia="仿宋_GB2312" w:hAnsi="仿宋" w:cs="Times New Roman" w:hint="eastAsia"/>
          <w:color w:val="000000" w:themeColor="text1"/>
          <w:sz w:val="32"/>
          <w:szCs w:val="32"/>
        </w:rPr>
        <w:t>提出</w:t>
      </w:r>
      <w:r w:rsidR="00CB0BD3">
        <w:rPr>
          <w:rFonts w:ascii="仿宋_GB2312" w:eastAsia="仿宋_GB2312" w:hAnsi="仿宋" w:cs="Times New Roman" w:hint="eastAsia"/>
          <w:color w:val="000000" w:themeColor="text1"/>
          <w:sz w:val="32"/>
          <w:szCs w:val="32"/>
        </w:rPr>
        <w:t>对策</w:t>
      </w:r>
      <w:r w:rsidR="00AE5CFF">
        <w:rPr>
          <w:rFonts w:ascii="仿宋_GB2312" w:eastAsia="仿宋_GB2312" w:hAnsi="仿宋" w:cs="Times New Roman" w:hint="eastAsia"/>
          <w:color w:val="000000" w:themeColor="text1"/>
          <w:sz w:val="32"/>
          <w:szCs w:val="32"/>
        </w:rPr>
        <w:t>建议</w:t>
      </w:r>
      <w:r w:rsidR="00F42040">
        <w:rPr>
          <w:rFonts w:ascii="仿宋_GB2312" w:eastAsia="仿宋_GB2312" w:hAnsi="仿宋" w:cs="Times New Roman" w:hint="eastAsia"/>
          <w:color w:val="000000" w:themeColor="text1"/>
          <w:sz w:val="32"/>
          <w:szCs w:val="32"/>
        </w:rPr>
        <w:t>。</w:t>
      </w:r>
    </w:p>
    <w:p w:rsidR="00831130" w:rsidRDefault="00831130" w:rsidP="00831130">
      <w:pPr>
        <w:adjustRightInd w:val="0"/>
        <w:snapToGrid w:val="0"/>
        <w:spacing w:line="590" w:lineRule="exact"/>
        <w:ind w:firstLineChars="200" w:firstLine="640"/>
        <w:rPr>
          <w:rFonts w:ascii="仿宋_GB2312" w:eastAsia="仿宋_GB2312" w:hAnsi="仿宋" w:cs="Times New Roman"/>
          <w:color w:val="000000" w:themeColor="text1"/>
          <w:sz w:val="32"/>
          <w:szCs w:val="32"/>
        </w:rPr>
      </w:pPr>
    </w:p>
    <w:p w:rsidR="007D01BB" w:rsidRPr="005D0208" w:rsidRDefault="007D01BB" w:rsidP="005D0208">
      <w:pPr>
        <w:adjustRightInd w:val="0"/>
        <w:snapToGrid w:val="0"/>
        <w:spacing w:line="590" w:lineRule="exact"/>
        <w:ind w:firstLineChars="200" w:firstLine="640"/>
        <w:rPr>
          <w:rFonts w:ascii="仿宋_GB2312" w:eastAsia="仿宋_GB2312" w:hAnsi="仿宋" w:cs="Times New Roman"/>
          <w:color w:val="000000" w:themeColor="text1"/>
          <w:sz w:val="32"/>
          <w:szCs w:val="32"/>
        </w:rPr>
      </w:pPr>
      <w:r w:rsidRPr="00422EB3">
        <w:rPr>
          <w:rFonts w:ascii="楷体_GB2312" w:eastAsia="楷体_GB2312" w:hAnsi="黑体" w:cs="宋体" w:hint="eastAsia"/>
          <w:color w:val="000000" w:themeColor="text1"/>
          <w:kern w:val="0"/>
          <w:sz w:val="32"/>
          <w:szCs w:val="32"/>
        </w:rPr>
        <w:t>4.城乡治理网格化管理立法研究（编号：2020jssf004）</w:t>
      </w:r>
    </w:p>
    <w:p w:rsidR="007D01BB" w:rsidRPr="00400CB9" w:rsidRDefault="007D01BB" w:rsidP="00422EB3">
      <w:pPr>
        <w:adjustRightInd w:val="0"/>
        <w:snapToGrid w:val="0"/>
        <w:spacing w:line="590" w:lineRule="exact"/>
        <w:ind w:firstLineChars="200" w:firstLine="643"/>
        <w:rPr>
          <w:rFonts w:ascii="仿宋_GB2312" w:eastAsia="仿宋_GB2312" w:hAnsi="仿宋" w:cs="Times New Roman"/>
          <w:color w:val="000000" w:themeColor="text1"/>
          <w:sz w:val="32"/>
          <w:szCs w:val="32"/>
        </w:rPr>
      </w:pPr>
      <w:r w:rsidRPr="00422EB3">
        <w:rPr>
          <w:rFonts w:ascii="仿宋_GB2312" w:eastAsia="仿宋_GB2312" w:hAnsi="仿宋" w:cs="Times New Roman" w:hint="eastAsia"/>
          <w:b/>
          <w:sz w:val="32"/>
          <w:szCs w:val="32"/>
        </w:rPr>
        <w:t>课题的必要性：</w:t>
      </w:r>
      <w:r w:rsidRPr="00400CB9">
        <w:rPr>
          <w:rFonts w:ascii="仿宋_GB2312" w:eastAsia="仿宋_GB2312" w:hAnsi="仿宋" w:cs="Times New Roman" w:hint="eastAsia"/>
          <w:color w:val="000000" w:themeColor="text1"/>
          <w:sz w:val="32"/>
          <w:szCs w:val="32"/>
        </w:rPr>
        <w:t>城乡治理网格化是基层公共治理和服务</w:t>
      </w:r>
      <w:r>
        <w:rPr>
          <w:rFonts w:ascii="仿宋_GB2312" w:eastAsia="仿宋_GB2312" w:hAnsi="仿宋" w:cs="Times New Roman" w:hint="eastAsia"/>
          <w:color w:val="000000" w:themeColor="text1"/>
          <w:sz w:val="32"/>
          <w:szCs w:val="32"/>
        </w:rPr>
        <w:t>的</w:t>
      </w:r>
      <w:r w:rsidRPr="00400CB9">
        <w:rPr>
          <w:rFonts w:ascii="仿宋_GB2312" w:eastAsia="仿宋_GB2312" w:hAnsi="仿宋" w:cs="Times New Roman" w:hint="eastAsia"/>
          <w:color w:val="000000" w:themeColor="text1"/>
          <w:sz w:val="32"/>
          <w:szCs w:val="32"/>
        </w:rPr>
        <w:t>新模式</w:t>
      </w:r>
      <w:r>
        <w:rPr>
          <w:rFonts w:ascii="仿宋_GB2312" w:eastAsia="仿宋_GB2312" w:hAnsi="仿宋" w:cs="Times New Roman" w:hint="eastAsia"/>
          <w:color w:val="000000" w:themeColor="text1"/>
          <w:sz w:val="32"/>
          <w:szCs w:val="32"/>
        </w:rPr>
        <w:t>。</w:t>
      </w:r>
      <w:r w:rsidRPr="00400CB9">
        <w:rPr>
          <w:rFonts w:ascii="仿宋_GB2312" w:eastAsia="仿宋_GB2312" w:hAnsi="仿宋" w:cs="Times New Roman" w:hint="eastAsia"/>
          <w:color w:val="000000" w:themeColor="text1"/>
          <w:sz w:val="32"/>
          <w:szCs w:val="32"/>
        </w:rPr>
        <w:t>疫情期间</w:t>
      </w:r>
      <w:r>
        <w:rPr>
          <w:rFonts w:ascii="仿宋_GB2312" w:eastAsia="仿宋_GB2312" w:hAnsi="仿宋" w:cs="Times New Roman" w:hint="eastAsia"/>
          <w:color w:val="000000" w:themeColor="text1"/>
          <w:sz w:val="32"/>
          <w:szCs w:val="32"/>
        </w:rPr>
        <w:t>，</w:t>
      </w:r>
      <w:r w:rsidRPr="00400CB9">
        <w:rPr>
          <w:rFonts w:ascii="仿宋_GB2312" w:eastAsia="仿宋_GB2312" w:hAnsi="仿宋" w:cs="Times New Roman" w:hint="eastAsia"/>
          <w:color w:val="000000" w:themeColor="text1"/>
          <w:sz w:val="32"/>
          <w:szCs w:val="32"/>
        </w:rPr>
        <w:t>城乡治理网格化</w:t>
      </w:r>
      <w:r>
        <w:rPr>
          <w:rFonts w:ascii="仿宋_GB2312" w:eastAsia="仿宋_GB2312" w:hAnsi="仿宋" w:cs="Times New Roman" w:hint="eastAsia"/>
          <w:color w:val="000000" w:themeColor="text1"/>
          <w:sz w:val="32"/>
          <w:szCs w:val="32"/>
        </w:rPr>
        <w:t>凸显</w:t>
      </w:r>
      <w:r w:rsidRPr="00400CB9">
        <w:rPr>
          <w:rFonts w:ascii="仿宋_GB2312" w:eastAsia="仿宋_GB2312" w:hAnsi="仿宋" w:cs="Times New Roman" w:hint="eastAsia"/>
          <w:color w:val="000000" w:themeColor="text1"/>
          <w:sz w:val="32"/>
          <w:szCs w:val="32"/>
        </w:rPr>
        <w:t>了其在综合管理、社会服务、社会稳定等方面的优势。统筹设计好、应用好、发展好网格化平台，能有效减少治理盲区，增强治理水平，提高管理效</w:t>
      </w:r>
      <w:r>
        <w:rPr>
          <w:rFonts w:ascii="仿宋_GB2312" w:eastAsia="仿宋_GB2312" w:hAnsi="仿宋" w:cs="Times New Roman" w:hint="eastAsia"/>
          <w:color w:val="000000" w:themeColor="text1"/>
          <w:sz w:val="32"/>
          <w:szCs w:val="32"/>
        </w:rPr>
        <w:t>率，节约公共财政投资。</w:t>
      </w:r>
      <w:r w:rsidR="00AE5CFF">
        <w:rPr>
          <w:rFonts w:ascii="仿宋_GB2312" w:eastAsia="仿宋_GB2312" w:hAnsi="仿宋" w:cs="Times New Roman" w:hint="eastAsia"/>
          <w:color w:val="000000" w:themeColor="text1"/>
          <w:sz w:val="32"/>
          <w:szCs w:val="32"/>
        </w:rPr>
        <w:t>但在</w:t>
      </w:r>
      <w:r w:rsidR="00305714">
        <w:rPr>
          <w:rFonts w:ascii="仿宋_GB2312" w:eastAsia="仿宋_GB2312" w:hAnsi="仿宋" w:cs="Times New Roman" w:hint="eastAsia"/>
          <w:color w:val="000000" w:themeColor="text1"/>
          <w:sz w:val="32"/>
          <w:szCs w:val="32"/>
        </w:rPr>
        <w:t>实践中</w:t>
      </w:r>
      <w:r>
        <w:rPr>
          <w:rFonts w:ascii="仿宋_GB2312" w:eastAsia="仿宋_GB2312" w:hAnsi="仿宋" w:cs="Times New Roman" w:hint="eastAsia"/>
          <w:color w:val="000000" w:themeColor="text1"/>
          <w:sz w:val="32"/>
          <w:szCs w:val="32"/>
        </w:rPr>
        <w:t>，</w:t>
      </w:r>
      <w:r w:rsidRPr="00305714">
        <w:rPr>
          <w:rFonts w:ascii="仿宋_GB2312" w:eastAsia="仿宋_GB2312" w:hAnsi="仿宋" w:cs="Times New Roman" w:hint="eastAsia"/>
          <w:color w:val="000000" w:themeColor="text1"/>
          <w:sz w:val="32"/>
          <w:szCs w:val="32"/>
        </w:rPr>
        <w:t>一</w:t>
      </w:r>
      <w:r w:rsidRPr="00F40C5C">
        <w:rPr>
          <w:rFonts w:ascii="仿宋_GB2312" w:eastAsia="仿宋_GB2312" w:hAnsi="仿宋" w:cs="Times New Roman" w:hint="eastAsia"/>
          <w:color w:val="000000" w:themeColor="text1"/>
          <w:sz w:val="32"/>
          <w:szCs w:val="32"/>
        </w:rPr>
        <w:t>些政府部门还存在认识误区</w:t>
      </w:r>
      <w:r w:rsidR="007F6653">
        <w:rPr>
          <w:rFonts w:ascii="仿宋_GB2312" w:eastAsia="仿宋_GB2312" w:hAnsi="仿宋" w:cs="Times New Roman" w:hint="eastAsia"/>
          <w:color w:val="000000" w:themeColor="text1"/>
          <w:sz w:val="32"/>
          <w:szCs w:val="32"/>
        </w:rPr>
        <w:t>，</w:t>
      </w:r>
      <w:r w:rsidRPr="00400CB9">
        <w:rPr>
          <w:rFonts w:ascii="仿宋_GB2312" w:eastAsia="仿宋_GB2312" w:hAnsi="仿宋" w:cs="Times New Roman" w:hint="eastAsia"/>
          <w:color w:val="000000" w:themeColor="text1"/>
          <w:sz w:val="32"/>
          <w:szCs w:val="32"/>
        </w:rPr>
        <w:t>一些好</w:t>
      </w:r>
      <w:r>
        <w:rPr>
          <w:rFonts w:ascii="仿宋_GB2312" w:eastAsia="仿宋_GB2312" w:hAnsi="仿宋" w:cs="Times New Roman" w:hint="eastAsia"/>
          <w:color w:val="000000" w:themeColor="text1"/>
          <w:sz w:val="32"/>
          <w:szCs w:val="32"/>
        </w:rPr>
        <w:t>的</w:t>
      </w:r>
      <w:r w:rsidRPr="00400CB9">
        <w:rPr>
          <w:rFonts w:ascii="仿宋_GB2312" w:eastAsia="仿宋_GB2312" w:hAnsi="仿宋" w:cs="Times New Roman" w:hint="eastAsia"/>
          <w:color w:val="000000" w:themeColor="text1"/>
          <w:sz w:val="32"/>
          <w:szCs w:val="32"/>
        </w:rPr>
        <w:t>经验和做法</w:t>
      </w:r>
      <w:r>
        <w:rPr>
          <w:rFonts w:ascii="仿宋_GB2312" w:eastAsia="仿宋_GB2312" w:hAnsi="仿宋" w:cs="Times New Roman" w:hint="eastAsia"/>
          <w:color w:val="000000" w:themeColor="text1"/>
          <w:sz w:val="32"/>
          <w:szCs w:val="32"/>
        </w:rPr>
        <w:t>得</w:t>
      </w:r>
      <w:r w:rsidRPr="00400CB9">
        <w:rPr>
          <w:rFonts w:ascii="仿宋_GB2312" w:eastAsia="仿宋_GB2312" w:hAnsi="仿宋" w:cs="Times New Roman" w:hint="eastAsia"/>
          <w:color w:val="000000" w:themeColor="text1"/>
          <w:sz w:val="32"/>
          <w:szCs w:val="32"/>
        </w:rPr>
        <w:t>不到</w:t>
      </w:r>
      <w:r>
        <w:rPr>
          <w:rFonts w:ascii="仿宋_GB2312" w:eastAsia="仿宋_GB2312" w:hAnsi="仿宋" w:cs="Times New Roman" w:hint="eastAsia"/>
          <w:color w:val="000000" w:themeColor="text1"/>
          <w:sz w:val="32"/>
          <w:szCs w:val="32"/>
        </w:rPr>
        <w:t>及时</w:t>
      </w:r>
      <w:r w:rsidRPr="00400CB9">
        <w:rPr>
          <w:rFonts w:ascii="仿宋_GB2312" w:eastAsia="仿宋_GB2312" w:hAnsi="仿宋" w:cs="Times New Roman" w:hint="eastAsia"/>
          <w:color w:val="000000" w:themeColor="text1"/>
          <w:sz w:val="32"/>
          <w:szCs w:val="32"/>
        </w:rPr>
        <w:t>有效推广，因此亟需以立法形式将</w:t>
      </w:r>
      <w:r>
        <w:rPr>
          <w:rFonts w:ascii="仿宋_GB2312" w:eastAsia="仿宋_GB2312" w:hAnsi="仿宋" w:cs="Times New Roman" w:hint="eastAsia"/>
          <w:color w:val="000000" w:themeColor="text1"/>
          <w:sz w:val="32"/>
          <w:szCs w:val="32"/>
        </w:rPr>
        <w:t>其</w:t>
      </w:r>
      <w:r w:rsidRPr="00400CB9">
        <w:rPr>
          <w:rFonts w:ascii="仿宋_GB2312" w:eastAsia="仿宋_GB2312" w:hAnsi="仿宋" w:cs="Times New Roman" w:hint="eastAsia"/>
          <w:color w:val="000000" w:themeColor="text1"/>
          <w:sz w:val="32"/>
          <w:szCs w:val="32"/>
        </w:rPr>
        <w:t>总结固化，</w:t>
      </w:r>
      <w:r>
        <w:rPr>
          <w:rFonts w:ascii="仿宋_GB2312" w:eastAsia="仿宋_GB2312" w:hAnsi="仿宋" w:cs="Times New Roman" w:hint="eastAsia"/>
          <w:color w:val="000000" w:themeColor="text1"/>
          <w:sz w:val="32"/>
          <w:szCs w:val="32"/>
        </w:rPr>
        <w:t>保障</w:t>
      </w:r>
      <w:r w:rsidRPr="00400CB9">
        <w:rPr>
          <w:rFonts w:ascii="仿宋_GB2312" w:eastAsia="仿宋_GB2312" w:hAnsi="仿宋" w:cs="Times New Roman" w:hint="eastAsia"/>
          <w:color w:val="000000" w:themeColor="text1"/>
          <w:sz w:val="32"/>
          <w:szCs w:val="32"/>
        </w:rPr>
        <w:t>基层治理体系和治理能力现代化</w:t>
      </w:r>
      <w:r>
        <w:rPr>
          <w:rFonts w:ascii="仿宋_GB2312" w:eastAsia="仿宋_GB2312" w:hAnsi="仿宋" w:cs="Times New Roman" w:hint="eastAsia"/>
          <w:color w:val="000000" w:themeColor="text1"/>
          <w:sz w:val="32"/>
          <w:szCs w:val="32"/>
        </w:rPr>
        <w:t>持续推进</w:t>
      </w:r>
      <w:r w:rsidRPr="00400CB9">
        <w:rPr>
          <w:rFonts w:ascii="仿宋_GB2312" w:eastAsia="仿宋_GB2312" w:hAnsi="仿宋" w:cs="Times New Roman" w:hint="eastAsia"/>
          <w:color w:val="000000" w:themeColor="text1"/>
          <w:sz w:val="32"/>
          <w:szCs w:val="32"/>
        </w:rPr>
        <w:t>。</w:t>
      </w:r>
    </w:p>
    <w:p w:rsidR="005D0208" w:rsidRDefault="007D01BB" w:rsidP="005D0208">
      <w:pPr>
        <w:adjustRightInd w:val="0"/>
        <w:snapToGrid w:val="0"/>
        <w:spacing w:line="590" w:lineRule="exact"/>
        <w:ind w:firstLineChars="200" w:firstLine="643"/>
        <w:rPr>
          <w:rFonts w:ascii="仿宋_GB2312" w:eastAsia="仿宋_GB2312" w:hAnsi="仿宋" w:cs="Times New Roman"/>
          <w:color w:val="000000" w:themeColor="text1"/>
          <w:sz w:val="32"/>
          <w:szCs w:val="32"/>
        </w:rPr>
      </w:pPr>
      <w:r w:rsidRPr="00422EB3">
        <w:rPr>
          <w:rFonts w:ascii="仿宋_GB2312" w:eastAsia="仿宋_GB2312" w:hAnsi="仿宋" w:cs="Times New Roman" w:hint="eastAsia"/>
          <w:b/>
          <w:sz w:val="32"/>
          <w:szCs w:val="32"/>
        </w:rPr>
        <w:t>研究范围及要求：</w:t>
      </w:r>
      <w:r>
        <w:rPr>
          <w:rFonts w:ascii="仿宋_GB2312" w:eastAsia="仿宋_GB2312" w:hAnsi="仿宋" w:cs="Times New Roman" w:hint="eastAsia"/>
          <w:color w:val="000000" w:themeColor="text1"/>
          <w:sz w:val="32"/>
          <w:szCs w:val="32"/>
        </w:rPr>
        <w:t>以</w:t>
      </w:r>
      <w:r w:rsidRPr="00400CB9">
        <w:rPr>
          <w:rFonts w:ascii="仿宋_GB2312" w:eastAsia="仿宋_GB2312" w:hAnsi="仿宋" w:cs="Times New Roman" w:hint="eastAsia"/>
          <w:color w:val="000000" w:themeColor="text1"/>
          <w:sz w:val="32"/>
          <w:szCs w:val="32"/>
        </w:rPr>
        <w:t>规范城乡网格化服务管理工作，优化基层公共服务和管理，加强基层治理自治、法治、德治融合，深化平安建设和法治建设，推进基层治理体系和治理能力现代化</w:t>
      </w:r>
      <w:r>
        <w:rPr>
          <w:rFonts w:ascii="仿宋_GB2312" w:eastAsia="仿宋_GB2312" w:hAnsi="仿宋" w:cs="Times New Roman" w:hint="eastAsia"/>
          <w:color w:val="000000" w:themeColor="text1"/>
          <w:sz w:val="32"/>
          <w:szCs w:val="32"/>
        </w:rPr>
        <w:t>为目标</w:t>
      </w:r>
      <w:r w:rsidRPr="00400CB9">
        <w:rPr>
          <w:rFonts w:ascii="仿宋_GB2312" w:eastAsia="仿宋_GB2312" w:hAnsi="仿宋" w:cs="Times New Roman" w:hint="eastAsia"/>
          <w:color w:val="000000" w:themeColor="text1"/>
          <w:sz w:val="32"/>
          <w:szCs w:val="32"/>
        </w:rPr>
        <w:t>，从立法目的、适用范围、基本原则、管理体系、网格建设、平台支撑、网格职责和运行、保障等方面</w:t>
      </w:r>
      <w:r>
        <w:rPr>
          <w:rFonts w:ascii="仿宋_GB2312" w:eastAsia="仿宋_GB2312" w:hAnsi="仿宋" w:cs="Times New Roman" w:hint="eastAsia"/>
          <w:color w:val="000000" w:themeColor="text1"/>
          <w:sz w:val="32"/>
          <w:szCs w:val="32"/>
        </w:rPr>
        <w:t>开展</w:t>
      </w:r>
      <w:r w:rsidRPr="00400CB9">
        <w:rPr>
          <w:rFonts w:ascii="仿宋_GB2312" w:eastAsia="仿宋_GB2312" w:hAnsi="仿宋" w:cs="Times New Roman" w:hint="eastAsia"/>
          <w:color w:val="000000" w:themeColor="text1"/>
          <w:sz w:val="32"/>
          <w:szCs w:val="32"/>
        </w:rPr>
        <w:t>研究。</w:t>
      </w:r>
    </w:p>
    <w:p w:rsidR="005D0208" w:rsidRDefault="005D0208" w:rsidP="005D0208">
      <w:pPr>
        <w:adjustRightInd w:val="0"/>
        <w:snapToGrid w:val="0"/>
        <w:spacing w:line="590" w:lineRule="exact"/>
        <w:ind w:firstLineChars="200" w:firstLine="640"/>
        <w:rPr>
          <w:rFonts w:ascii="仿宋_GB2312" w:eastAsia="仿宋_GB2312" w:hAnsi="仿宋" w:cs="Times New Roman"/>
          <w:color w:val="000000" w:themeColor="text1"/>
          <w:sz w:val="32"/>
          <w:szCs w:val="32"/>
        </w:rPr>
      </w:pPr>
    </w:p>
    <w:p w:rsidR="00AF3518" w:rsidRPr="005D0208" w:rsidRDefault="00A1075E" w:rsidP="005D0208">
      <w:pPr>
        <w:adjustRightInd w:val="0"/>
        <w:snapToGrid w:val="0"/>
        <w:spacing w:line="590" w:lineRule="exact"/>
        <w:ind w:firstLineChars="200" w:firstLine="640"/>
        <w:rPr>
          <w:rFonts w:ascii="仿宋_GB2312" w:eastAsia="仿宋_GB2312" w:hAnsi="仿宋" w:cs="Times New Roman"/>
          <w:color w:val="000000" w:themeColor="text1"/>
          <w:sz w:val="32"/>
          <w:szCs w:val="32"/>
        </w:rPr>
      </w:pPr>
      <w:r w:rsidRPr="00422EB3">
        <w:rPr>
          <w:rFonts w:ascii="楷体_GB2312" w:eastAsia="楷体_GB2312" w:hAnsi="黑体" w:cs="宋体" w:hint="eastAsia"/>
          <w:color w:val="000000" w:themeColor="text1"/>
          <w:kern w:val="0"/>
          <w:sz w:val="32"/>
          <w:szCs w:val="32"/>
        </w:rPr>
        <w:t>5</w:t>
      </w:r>
      <w:r w:rsidR="00AF3518" w:rsidRPr="00422EB3">
        <w:rPr>
          <w:rFonts w:ascii="楷体_GB2312" w:eastAsia="楷体_GB2312" w:hAnsi="黑体" w:cs="宋体" w:hint="eastAsia"/>
          <w:color w:val="000000" w:themeColor="text1"/>
          <w:kern w:val="0"/>
          <w:sz w:val="32"/>
          <w:szCs w:val="32"/>
        </w:rPr>
        <w:t>.</w:t>
      </w:r>
      <w:r w:rsidR="00F75565" w:rsidRPr="00422EB3">
        <w:rPr>
          <w:rFonts w:ascii="楷体_GB2312" w:eastAsia="楷体_GB2312" w:hAnsi="黑体" w:cs="宋体" w:hint="eastAsia"/>
          <w:color w:val="000000" w:themeColor="text1"/>
          <w:kern w:val="0"/>
          <w:sz w:val="32"/>
          <w:szCs w:val="32"/>
        </w:rPr>
        <w:t>地方安全生产立法保障研究</w:t>
      </w:r>
      <w:r w:rsidRPr="00422EB3">
        <w:rPr>
          <w:rFonts w:ascii="楷体_GB2312" w:eastAsia="楷体_GB2312" w:hAnsi="黑体" w:cs="宋体" w:hint="eastAsia"/>
          <w:color w:val="000000" w:themeColor="text1"/>
          <w:kern w:val="0"/>
          <w:sz w:val="32"/>
          <w:szCs w:val="32"/>
        </w:rPr>
        <w:t>（编号：2020jssf005）</w:t>
      </w:r>
    </w:p>
    <w:p w:rsidR="001D4B7E" w:rsidRDefault="00A1075E" w:rsidP="001D4B7E">
      <w:pPr>
        <w:adjustRightInd w:val="0"/>
        <w:snapToGrid w:val="0"/>
        <w:spacing w:line="590" w:lineRule="exact"/>
        <w:ind w:firstLineChars="200" w:firstLine="643"/>
        <w:rPr>
          <w:rFonts w:ascii="仿宋_GB2312" w:eastAsia="仿宋_GB2312" w:hAnsi="仿宋" w:cs="Times New Roman"/>
          <w:color w:val="000000" w:themeColor="text1"/>
          <w:sz w:val="32"/>
          <w:szCs w:val="32"/>
        </w:rPr>
      </w:pPr>
      <w:r w:rsidRPr="00422EB3">
        <w:rPr>
          <w:rFonts w:ascii="仿宋_GB2312" w:eastAsia="仿宋_GB2312" w:hAnsi="仿宋" w:cs="Times New Roman" w:hint="eastAsia"/>
          <w:b/>
          <w:sz w:val="32"/>
          <w:szCs w:val="32"/>
        </w:rPr>
        <w:t>课题的必要性：</w:t>
      </w:r>
      <w:r w:rsidR="00BD646C" w:rsidRPr="005C5D4D">
        <w:rPr>
          <w:rFonts w:ascii="仿宋_GB2312" w:eastAsia="仿宋_GB2312" w:hAnsi="仿宋" w:cs="Times New Roman" w:hint="eastAsia"/>
          <w:color w:val="000000" w:themeColor="text1"/>
          <w:sz w:val="32"/>
          <w:szCs w:val="32"/>
        </w:rPr>
        <w:t>当前我国正处在工业化、城镇化持续推进过程中，生产经营规模不断扩大，传统和新型生产经营方式并存，</w:t>
      </w:r>
      <w:r w:rsidR="00BD646C" w:rsidRPr="005C5D4D">
        <w:rPr>
          <w:rFonts w:ascii="仿宋_GB2312" w:eastAsia="仿宋_GB2312" w:hAnsi="仿宋" w:cs="Times New Roman" w:hint="eastAsia"/>
          <w:color w:val="000000" w:themeColor="text1"/>
          <w:sz w:val="32"/>
          <w:szCs w:val="32"/>
        </w:rPr>
        <w:lastRenderedPageBreak/>
        <w:t>各类事故隐患和安全风险交织叠加，安全生产基础薄弱、监管体制机制和法律制度不完善等问题</w:t>
      </w:r>
      <w:r w:rsidR="00F35397" w:rsidRPr="005C5D4D">
        <w:rPr>
          <w:rFonts w:ascii="仿宋_GB2312" w:eastAsia="仿宋_GB2312" w:hAnsi="仿宋" w:cs="Times New Roman" w:hint="eastAsia"/>
          <w:color w:val="000000" w:themeColor="text1"/>
          <w:sz w:val="32"/>
          <w:szCs w:val="32"/>
        </w:rPr>
        <w:t>较为</w:t>
      </w:r>
      <w:r w:rsidR="00BD646C" w:rsidRPr="005C5D4D">
        <w:rPr>
          <w:rFonts w:ascii="仿宋_GB2312" w:eastAsia="仿宋_GB2312" w:hAnsi="仿宋" w:cs="Times New Roman" w:hint="eastAsia"/>
          <w:color w:val="000000" w:themeColor="text1"/>
          <w:sz w:val="32"/>
          <w:szCs w:val="32"/>
        </w:rPr>
        <w:t>突出，生产安全事故易发多发</w:t>
      </w:r>
      <w:r w:rsidR="005E462F" w:rsidRPr="005C5D4D">
        <w:rPr>
          <w:rFonts w:ascii="仿宋_GB2312" w:eastAsia="仿宋_GB2312" w:hAnsi="仿宋" w:cs="Times New Roman" w:hint="eastAsia"/>
          <w:color w:val="000000" w:themeColor="text1"/>
          <w:sz w:val="32"/>
          <w:szCs w:val="32"/>
        </w:rPr>
        <w:t>。</w:t>
      </w:r>
      <w:r w:rsidR="00826507">
        <w:rPr>
          <w:rFonts w:ascii="仿宋_GB2312" w:eastAsia="仿宋_GB2312" w:hAnsi="仿宋" w:cs="Times New Roman" w:hint="eastAsia"/>
          <w:color w:val="000000" w:themeColor="text1"/>
          <w:sz w:val="32"/>
          <w:szCs w:val="32"/>
        </w:rPr>
        <w:t>因此，</w:t>
      </w:r>
      <w:r w:rsidR="005C5D4D" w:rsidRPr="005C5D4D">
        <w:rPr>
          <w:rFonts w:ascii="仿宋_GB2312" w:eastAsia="仿宋_GB2312" w:hAnsi="仿宋" w:cs="Times New Roman" w:hint="eastAsia"/>
          <w:color w:val="000000" w:themeColor="text1"/>
          <w:sz w:val="32"/>
          <w:szCs w:val="32"/>
        </w:rPr>
        <w:t>加强</w:t>
      </w:r>
      <w:r w:rsidR="00305714">
        <w:rPr>
          <w:rFonts w:ascii="仿宋_GB2312" w:eastAsia="仿宋_GB2312" w:hAnsi="仿宋" w:cs="Times New Roman" w:hint="eastAsia"/>
          <w:color w:val="000000" w:themeColor="text1"/>
          <w:sz w:val="32"/>
          <w:szCs w:val="32"/>
        </w:rPr>
        <w:t>地方</w:t>
      </w:r>
      <w:r w:rsidR="005E462F" w:rsidRPr="005C5D4D">
        <w:rPr>
          <w:rFonts w:ascii="仿宋_GB2312" w:eastAsia="仿宋_GB2312" w:hAnsi="仿宋" w:cs="Times New Roman" w:hint="eastAsia"/>
          <w:color w:val="000000" w:themeColor="text1"/>
          <w:sz w:val="32"/>
          <w:szCs w:val="32"/>
        </w:rPr>
        <w:t>安全生产立法保障研究，</w:t>
      </w:r>
      <w:r w:rsidR="001D4B7E" w:rsidRPr="005C5D4D">
        <w:rPr>
          <w:rFonts w:ascii="仿宋_GB2312" w:eastAsia="仿宋_GB2312" w:hAnsi="仿宋" w:cs="Times New Roman" w:hint="eastAsia"/>
          <w:color w:val="000000" w:themeColor="text1"/>
          <w:sz w:val="32"/>
          <w:szCs w:val="32"/>
        </w:rPr>
        <w:t>立足地</w:t>
      </w:r>
      <w:r w:rsidR="001D4B7E" w:rsidRPr="00826507">
        <w:rPr>
          <w:rFonts w:ascii="仿宋_GB2312" w:eastAsia="仿宋_GB2312" w:hAnsi="仿宋" w:cs="Times New Roman" w:hint="eastAsia"/>
          <w:color w:val="000000" w:themeColor="text1"/>
          <w:sz w:val="32"/>
          <w:szCs w:val="32"/>
        </w:rPr>
        <w:t>方自身的发展特点</w:t>
      </w:r>
      <w:r w:rsidR="001D4B7E">
        <w:rPr>
          <w:rFonts w:ascii="仿宋_GB2312" w:eastAsia="仿宋_GB2312" w:hAnsi="仿宋" w:cs="Times New Roman" w:hint="eastAsia"/>
          <w:color w:val="000000" w:themeColor="text1"/>
          <w:sz w:val="32"/>
          <w:szCs w:val="32"/>
        </w:rPr>
        <w:t>，</w:t>
      </w:r>
      <w:r w:rsidR="001D4B7E" w:rsidRPr="005D3104">
        <w:rPr>
          <w:rFonts w:ascii="仿宋_GB2312" w:eastAsia="仿宋_GB2312" w:hAnsi="仿宋" w:cs="Times New Roman" w:hint="eastAsia"/>
          <w:color w:val="000000" w:themeColor="text1"/>
          <w:sz w:val="32"/>
          <w:szCs w:val="32"/>
        </w:rPr>
        <w:t>综合本地区的政治经济文化等因素</w:t>
      </w:r>
      <w:r w:rsidR="001D4B7E">
        <w:rPr>
          <w:rFonts w:ascii="仿宋_GB2312" w:eastAsia="仿宋_GB2312" w:hAnsi="仿宋" w:cs="Times New Roman" w:hint="eastAsia"/>
          <w:color w:val="000000" w:themeColor="text1"/>
          <w:sz w:val="32"/>
          <w:szCs w:val="32"/>
        </w:rPr>
        <w:t>，</w:t>
      </w:r>
      <w:r w:rsidR="001D4B7E" w:rsidRPr="005D3104">
        <w:rPr>
          <w:rFonts w:ascii="仿宋_GB2312" w:eastAsia="仿宋_GB2312" w:hAnsi="仿宋" w:cs="Times New Roman" w:hint="eastAsia"/>
          <w:color w:val="000000" w:themeColor="text1"/>
          <w:sz w:val="32"/>
          <w:szCs w:val="32"/>
        </w:rPr>
        <w:t>充分发挥地方立法这一有效的工具，</w:t>
      </w:r>
      <w:r w:rsidR="005D3104">
        <w:rPr>
          <w:rFonts w:ascii="仿宋_GB2312" w:eastAsia="仿宋_GB2312" w:hAnsi="仿宋" w:cs="Times New Roman" w:hint="eastAsia"/>
          <w:color w:val="000000" w:themeColor="text1"/>
          <w:sz w:val="32"/>
          <w:szCs w:val="32"/>
        </w:rPr>
        <w:t>切实提高</w:t>
      </w:r>
      <w:r w:rsidR="001D4B7E">
        <w:rPr>
          <w:rFonts w:ascii="仿宋_GB2312" w:eastAsia="仿宋_GB2312" w:hAnsi="仿宋" w:cs="Times New Roman" w:hint="eastAsia"/>
          <w:color w:val="000000" w:themeColor="text1"/>
          <w:sz w:val="32"/>
          <w:szCs w:val="32"/>
        </w:rPr>
        <w:t>地方安全生产</w:t>
      </w:r>
      <w:r w:rsidR="001D4B7E" w:rsidRPr="00CE21DA">
        <w:rPr>
          <w:rFonts w:ascii="仿宋_GB2312" w:eastAsia="仿宋_GB2312" w:hAnsi="仿宋" w:cs="Times New Roman" w:hint="eastAsia"/>
          <w:color w:val="000000" w:themeColor="text1"/>
          <w:sz w:val="32"/>
          <w:szCs w:val="32"/>
        </w:rPr>
        <w:t>风险防控效能、安全</w:t>
      </w:r>
      <w:r w:rsidR="001D4B7E">
        <w:rPr>
          <w:rFonts w:ascii="仿宋_GB2312" w:eastAsia="仿宋_GB2312" w:hAnsi="仿宋" w:cs="Times New Roman" w:hint="eastAsia"/>
          <w:color w:val="000000" w:themeColor="text1"/>
          <w:sz w:val="32"/>
          <w:szCs w:val="32"/>
        </w:rPr>
        <w:t>生产</w:t>
      </w:r>
      <w:r w:rsidR="001D4B7E" w:rsidRPr="00CE21DA">
        <w:rPr>
          <w:rFonts w:ascii="仿宋_GB2312" w:eastAsia="仿宋_GB2312" w:hAnsi="仿宋" w:cs="Times New Roman" w:hint="eastAsia"/>
          <w:color w:val="000000" w:themeColor="text1"/>
          <w:sz w:val="32"/>
          <w:szCs w:val="32"/>
        </w:rPr>
        <w:t>管理能力、事故防范效果和安全治理水平</w:t>
      </w:r>
      <w:r w:rsidR="001D4B7E">
        <w:rPr>
          <w:rFonts w:ascii="仿宋_GB2312" w:eastAsia="仿宋_GB2312" w:hAnsi="仿宋" w:cs="Times New Roman" w:hint="eastAsia"/>
          <w:color w:val="000000" w:themeColor="text1"/>
          <w:sz w:val="32"/>
          <w:szCs w:val="32"/>
        </w:rPr>
        <w:t>，服务</w:t>
      </w:r>
      <w:r w:rsidR="001D4B7E" w:rsidRPr="005D3104">
        <w:rPr>
          <w:rFonts w:ascii="仿宋_GB2312" w:eastAsia="仿宋_GB2312" w:hAnsi="仿宋" w:cs="Times New Roman" w:hint="eastAsia"/>
          <w:color w:val="000000" w:themeColor="text1"/>
          <w:sz w:val="32"/>
          <w:szCs w:val="32"/>
        </w:rPr>
        <w:t>地方安全生产工作，</w:t>
      </w:r>
      <w:r w:rsidR="001D4B7E">
        <w:rPr>
          <w:rFonts w:ascii="仿宋_GB2312" w:eastAsia="仿宋_GB2312" w:hAnsi="仿宋" w:cs="Times New Roman" w:hint="eastAsia"/>
          <w:color w:val="000000" w:themeColor="text1"/>
          <w:sz w:val="32"/>
          <w:szCs w:val="32"/>
        </w:rPr>
        <w:t>助推</w:t>
      </w:r>
      <w:r w:rsidR="001D4B7E" w:rsidRPr="00CE21DA">
        <w:rPr>
          <w:rFonts w:ascii="仿宋_GB2312" w:eastAsia="仿宋_GB2312" w:hAnsi="仿宋" w:cs="Times New Roman" w:hint="eastAsia"/>
          <w:color w:val="000000" w:themeColor="text1"/>
          <w:sz w:val="32"/>
          <w:szCs w:val="32"/>
        </w:rPr>
        <w:t>安全生产治理体系和治理能力现代化</w:t>
      </w:r>
      <w:r w:rsidR="001D4B7E">
        <w:rPr>
          <w:rFonts w:ascii="仿宋_GB2312" w:eastAsia="仿宋_GB2312" w:hAnsi="仿宋" w:cs="Times New Roman" w:hint="eastAsia"/>
          <w:color w:val="000000" w:themeColor="text1"/>
          <w:sz w:val="32"/>
          <w:szCs w:val="32"/>
        </w:rPr>
        <w:t>。</w:t>
      </w:r>
    </w:p>
    <w:p w:rsidR="005D0208" w:rsidRDefault="00A1075E" w:rsidP="005D0208">
      <w:pPr>
        <w:adjustRightInd w:val="0"/>
        <w:snapToGrid w:val="0"/>
        <w:spacing w:line="590" w:lineRule="exact"/>
        <w:ind w:firstLineChars="200" w:firstLine="643"/>
        <w:rPr>
          <w:rFonts w:ascii="楷体_GB2312" w:eastAsia="楷体_GB2312" w:hAnsi="黑体" w:cs="宋体"/>
          <w:color w:val="000000" w:themeColor="text1"/>
          <w:kern w:val="0"/>
          <w:sz w:val="32"/>
          <w:szCs w:val="32"/>
        </w:rPr>
      </w:pPr>
      <w:r w:rsidRPr="00422EB3">
        <w:rPr>
          <w:rFonts w:ascii="仿宋_GB2312" w:eastAsia="仿宋_GB2312" w:hAnsi="仿宋" w:cs="Times New Roman" w:hint="eastAsia"/>
          <w:b/>
          <w:sz w:val="32"/>
          <w:szCs w:val="32"/>
        </w:rPr>
        <w:t>研究范围及要求：</w:t>
      </w:r>
      <w:r w:rsidR="007F6653" w:rsidRPr="007F6653">
        <w:rPr>
          <w:rFonts w:ascii="仿宋_GB2312" w:eastAsia="仿宋_GB2312" w:hAnsi="仿宋" w:cs="Times New Roman" w:hint="eastAsia"/>
          <w:color w:val="000000" w:themeColor="text1"/>
          <w:sz w:val="32"/>
          <w:szCs w:val="32"/>
        </w:rPr>
        <w:t>在</w:t>
      </w:r>
      <w:r w:rsidR="00EA7E5A" w:rsidRPr="00EA7E5A">
        <w:rPr>
          <w:rFonts w:ascii="仿宋_GB2312" w:eastAsia="仿宋_GB2312" w:hAnsi="仿宋" w:cs="Times New Roman" w:hint="eastAsia"/>
          <w:color w:val="000000" w:themeColor="text1"/>
          <w:sz w:val="32"/>
          <w:szCs w:val="32"/>
        </w:rPr>
        <w:t>准确把握地方安全生产立法原则和权限的基础上，</w:t>
      </w:r>
      <w:r w:rsidR="00EB2FC5">
        <w:rPr>
          <w:rFonts w:ascii="仿宋_GB2312" w:eastAsia="仿宋_GB2312" w:hAnsi="仿宋" w:cs="Times New Roman" w:hint="eastAsia"/>
          <w:color w:val="000000" w:themeColor="text1"/>
          <w:sz w:val="32"/>
          <w:szCs w:val="32"/>
        </w:rPr>
        <w:t>对</w:t>
      </w:r>
      <w:r w:rsidR="001D4B7E" w:rsidRPr="001D4B7E">
        <w:rPr>
          <w:rFonts w:ascii="仿宋_GB2312" w:eastAsia="仿宋_GB2312" w:hAnsi="仿宋" w:cs="Times New Roman" w:hint="eastAsia"/>
          <w:color w:val="000000" w:themeColor="text1"/>
          <w:sz w:val="32"/>
          <w:szCs w:val="32"/>
        </w:rPr>
        <w:t>地方安全生产立法保障</w:t>
      </w:r>
      <w:r w:rsidR="00C70F50">
        <w:rPr>
          <w:rFonts w:ascii="仿宋_GB2312" w:eastAsia="仿宋_GB2312" w:hAnsi="仿宋" w:cs="Times New Roman" w:hint="eastAsia"/>
          <w:color w:val="000000" w:themeColor="text1"/>
          <w:sz w:val="32"/>
          <w:szCs w:val="32"/>
        </w:rPr>
        <w:t>提出可操作性的对策建议</w:t>
      </w:r>
      <w:r w:rsidR="001D4B7E">
        <w:rPr>
          <w:rFonts w:ascii="楷体_GB2312" w:eastAsia="楷体_GB2312" w:hAnsi="黑体" w:cs="宋体" w:hint="eastAsia"/>
          <w:color w:val="000000" w:themeColor="text1"/>
          <w:kern w:val="0"/>
          <w:sz w:val="32"/>
          <w:szCs w:val="32"/>
        </w:rPr>
        <w:t>。</w:t>
      </w:r>
    </w:p>
    <w:p w:rsidR="005D0208" w:rsidRDefault="005D0208" w:rsidP="005D0208">
      <w:pPr>
        <w:adjustRightInd w:val="0"/>
        <w:snapToGrid w:val="0"/>
        <w:spacing w:line="590" w:lineRule="exact"/>
        <w:ind w:firstLineChars="200" w:firstLine="640"/>
        <w:rPr>
          <w:rFonts w:ascii="楷体_GB2312" w:eastAsia="楷体_GB2312" w:hAnsi="黑体" w:cs="宋体"/>
          <w:color w:val="000000" w:themeColor="text1"/>
          <w:kern w:val="0"/>
          <w:sz w:val="32"/>
          <w:szCs w:val="32"/>
        </w:rPr>
      </w:pPr>
    </w:p>
    <w:p w:rsidR="007D01BB" w:rsidRPr="00422EB3" w:rsidRDefault="007D01BB" w:rsidP="005D0208">
      <w:pPr>
        <w:adjustRightInd w:val="0"/>
        <w:snapToGrid w:val="0"/>
        <w:spacing w:line="590" w:lineRule="exact"/>
        <w:ind w:firstLineChars="200" w:firstLine="640"/>
        <w:rPr>
          <w:rFonts w:ascii="楷体_GB2312" w:eastAsia="楷体_GB2312" w:hAnsi="黑体" w:cs="宋体"/>
          <w:color w:val="000000" w:themeColor="text1"/>
          <w:kern w:val="0"/>
          <w:sz w:val="32"/>
          <w:szCs w:val="32"/>
        </w:rPr>
      </w:pPr>
      <w:r w:rsidRPr="00422EB3">
        <w:rPr>
          <w:rFonts w:ascii="楷体_GB2312" w:eastAsia="楷体_GB2312" w:hAnsi="黑体" w:cs="宋体" w:hint="eastAsia"/>
          <w:color w:val="000000" w:themeColor="text1"/>
          <w:kern w:val="0"/>
          <w:sz w:val="32"/>
          <w:szCs w:val="32"/>
        </w:rPr>
        <w:t>6.行政复议效能机制研究（编号：2020jssf006）</w:t>
      </w:r>
    </w:p>
    <w:p w:rsidR="004279C6" w:rsidRPr="003571E8" w:rsidRDefault="007D01BB" w:rsidP="004279C6">
      <w:pPr>
        <w:adjustRightInd w:val="0"/>
        <w:snapToGrid w:val="0"/>
        <w:spacing w:line="590" w:lineRule="exact"/>
        <w:ind w:firstLineChars="200" w:firstLine="643"/>
        <w:rPr>
          <w:rFonts w:ascii="仿宋_GB2312" w:eastAsia="仿宋_GB2312" w:hAnsi="微软雅黑"/>
          <w:color w:val="191919"/>
          <w:sz w:val="32"/>
          <w:szCs w:val="32"/>
        </w:rPr>
      </w:pPr>
      <w:r w:rsidRPr="003571E8">
        <w:rPr>
          <w:rFonts w:ascii="仿宋_GB2312" w:eastAsia="仿宋_GB2312" w:hAnsi="仿宋" w:cs="Times New Roman" w:hint="eastAsia"/>
          <w:b/>
          <w:color w:val="000000" w:themeColor="text1"/>
          <w:sz w:val="32"/>
          <w:szCs w:val="32"/>
        </w:rPr>
        <w:t>课题的必要性：</w:t>
      </w:r>
      <w:r w:rsidR="00AE5CFF" w:rsidRPr="00485769">
        <w:rPr>
          <w:rFonts w:ascii="仿宋_GB2312" w:eastAsia="仿宋_GB2312" w:hAnsi="微软雅黑" w:hint="eastAsia"/>
          <w:color w:val="191919"/>
          <w:sz w:val="32"/>
          <w:szCs w:val="32"/>
        </w:rPr>
        <w:t>2019年，</w:t>
      </w:r>
      <w:r w:rsidR="00485769">
        <w:rPr>
          <w:rFonts w:ascii="仿宋_GB2312" w:eastAsia="仿宋_GB2312" w:hAnsi="微软雅黑" w:hint="eastAsia"/>
          <w:color w:val="191919"/>
          <w:sz w:val="32"/>
          <w:szCs w:val="32"/>
        </w:rPr>
        <w:t>习近平总书</w:t>
      </w:r>
      <w:r w:rsidR="00AE5CFF" w:rsidRPr="00AE5CFF">
        <w:rPr>
          <w:rFonts w:ascii="仿宋_GB2312" w:eastAsia="仿宋_GB2312" w:hAnsi="微软雅黑"/>
          <w:color w:val="191919"/>
          <w:sz w:val="32"/>
          <w:szCs w:val="32"/>
        </w:rPr>
        <w:t>记在中央政治局第十七次集体学习</w:t>
      </w:r>
      <w:r w:rsidR="00485769">
        <w:rPr>
          <w:rFonts w:ascii="仿宋_GB2312" w:eastAsia="仿宋_GB2312" w:hAnsi="微软雅黑" w:hint="eastAsia"/>
          <w:color w:val="191919"/>
          <w:sz w:val="32"/>
          <w:szCs w:val="32"/>
        </w:rPr>
        <w:t>讲话中</w:t>
      </w:r>
      <w:r w:rsidR="00AE5CFF" w:rsidRPr="00AE5CFF">
        <w:rPr>
          <w:rFonts w:ascii="仿宋_GB2312" w:eastAsia="仿宋_GB2312" w:hAnsi="微软雅黑" w:hint="eastAsia"/>
          <w:color w:val="191919"/>
          <w:sz w:val="32"/>
          <w:szCs w:val="32"/>
        </w:rPr>
        <w:t>强调</w:t>
      </w:r>
      <w:r w:rsidR="00AE5CFF">
        <w:rPr>
          <w:rFonts w:ascii="仿宋_GB2312" w:eastAsia="仿宋_GB2312" w:hAnsi="微软雅黑" w:hint="eastAsia"/>
          <w:color w:val="191919"/>
          <w:sz w:val="32"/>
          <w:szCs w:val="32"/>
        </w:rPr>
        <w:t>，</w:t>
      </w:r>
      <w:r w:rsidRPr="003571E8">
        <w:rPr>
          <w:rFonts w:ascii="仿宋_GB2312" w:eastAsia="仿宋_GB2312" w:hAnsi="微软雅黑"/>
          <w:color w:val="191919"/>
          <w:sz w:val="32"/>
          <w:szCs w:val="32"/>
        </w:rPr>
        <w:t>要强化制度执行力，加强制度执行的监督，切实把我国制度优势转化为治理效能。</w:t>
      </w:r>
      <w:r w:rsidR="00305714">
        <w:rPr>
          <w:rFonts w:ascii="仿宋_GB2312" w:eastAsia="仿宋_GB2312" w:hAnsi="微软雅黑" w:hint="eastAsia"/>
          <w:color w:val="191919"/>
          <w:sz w:val="32"/>
          <w:szCs w:val="32"/>
        </w:rPr>
        <w:t>行政复议</w:t>
      </w:r>
      <w:r w:rsidRPr="003571E8">
        <w:rPr>
          <w:rFonts w:ascii="仿宋_GB2312" w:eastAsia="仿宋_GB2312" w:hAnsi="微软雅黑" w:hint="eastAsia"/>
          <w:color w:val="191919"/>
          <w:sz w:val="32"/>
          <w:szCs w:val="32"/>
        </w:rPr>
        <w:t>作为行政机关实现内部监督和自我解决行政争议的重要法律制度，是加快建设法治政府的有效抓手，</w:t>
      </w:r>
      <w:r w:rsidR="00485769">
        <w:rPr>
          <w:rFonts w:ascii="仿宋_GB2312" w:eastAsia="仿宋_GB2312" w:hAnsi="微软雅黑" w:hint="eastAsia"/>
          <w:color w:val="191919"/>
          <w:sz w:val="32"/>
          <w:szCs w:val="32"/>
        </w:rPr>
        <w:t>是推进全面依法治国的重要内容。因此，加强对行政复议效能机制研究</w:t>
      </w:r>
      <w:r w:rsidR="004279C6" w:rsidRPr="004279C6">
        <w:rPr>
          <w:rFonts w:ascii="仿宋_GB2312" w:eastAsia="仿宋_GB2312" w:hAnsi="微软雅黑" w:hint="eastAsia"/>
          <w:color w:val="191919"/>
          <w:sz w:val="32"/>
          <w:szCs w:val="32"/>
        </w:rPr>
        <w:t>,全面提升行政复议专业性、透明度和公信力</w:t>
      </w:r>
      <w:r w:rsidR="00485769">
        <w:rPr>
          <w:rFonts w:ascii="仿宋_GB2312" w:eastAsia="仿宋_GB2312" w:hAnsi="微软雅黑" w:hint="eastAsia"/>
          <w:color w:val="191919"/>
          <w:sz w:val="32"/>
          <w:szCs w:val="32"/>
        </w:rPr>
        <w:t>，</w:t>
      </w:r>
      <w:r w:rsidR="004279C6">
        <w:rPr>
          <w:rFonts w:ascii="仿宋_GB2312" w:eastAsia="仿宋_GB2312" w:hint="eastAsia"/>
          <w:color w:val="333333"/>
          <w:sz w:val="32"/>
          <w:szCs w:val="32"/>
        </w:rPr>
        <w:t>充分发挥行政复议在推进依法行政、建设法治政府中的重要作用，切实维护行政相对人的合法权益，实现政府管理社会效果和法律效果的统一。</w:t>
      </w:r>
    </w:p>
    <w:p w:rsidR="005D0208" w:rsidRDefault="007D01BB" w:rsidP="005D0208">
      <w:pPr>
        <w:adjustRightInd w:val="0"/>
        <w:snapToGrid w:val="0"/>
        <w:spacing w:line="590" w:lineRule="exact"/>
        <w:ind w:firstLineChars="200" w:firstLine="643"/>
        <w:rPr>
          <w:rFonts w:ascii="仿宋_GB2312" w:eastAsia="仿宋_GB2312" w:hAnsi="微软雅黑"/>
          <w:color w:val="191919"/>
          <w:sz w:val="32"/>
          <w:szCs w:val="32"/>
        </w:rPr>
      </w:pPr>
      <w:r w:rsidRPr="003571E8">
        <w:rPr>
          <w:rFonts w:ascii="仿宋_GB2312" w:eastAsia="仿宋_GB2312" w:hAnsi="仿宋" w:cs="Times New Roman" w:hint="eastAsia"/>
          <w:b/>
          <w:color w:val="000000" w:themeColor="text1"/>
          <w:sz w:val="32"/>
          <w:szCs w:val="32"/>
        </w:rPr>
        <w:t>研究范围及要求：</w:t>
      </w:r>
      <w:r w:rsidRPr="003571E8">
        <w:rPr>
          <w:rFonts w:ascii="仿宋_GB2312" w:eastAsia="仿宋_GB2312" w:hAnsi="微软雅黑" w:hint="eastAsia"/>
          <w:color w:val="191919"/>
          <w:sz w:val="32"/>
          <w:szCs w:val="32"/>
        </w:rPr>
        <w:t>结合新形势、新情况，从</w:t>
      </w:r>
      <w:r w:rsidR="00437EA3">
        <w:rPr>
          <w:rFonts w:ascii="仿宋_GB2312" w:eastAsia="仿宋_GB2312" w:hAnsi="微软雅黑" w:hint="eastAsia"/>
          <w:color w:val="191919"/>
          <w:sz w:val="32"/>
          <w:szCs w:val="32"/>
        </w:rPr>
        <w:t>充分发挥行政复议功能作用，实质性化解行政争议，积极维护群众合法权益，不断提高行政复议公信力影响力，以高质量办案推动法治政府建设</w:t>
      </w:r>
      <w:r w:rsidR="00437EA3">
        <w:rPr>
          <w:rFonts w:ascii="仿宋_GB2312" w:eastAsia="仿宋_GB2312" w:hAnsi="微软雅黑" w:hint="eastAsia"/>
          <w:color w:val="191919"/>
          <w:sz w:val="32"/>
          <w:szCs w:val="32"/>
        </w:rPr>
        <w:lastRenderedPageBreak/>
        <w:t>高质量发展等方面开展研究。</w:t>
      </w:r>
    </w:p>
    <w:p w:rsidR="005D0208" w:rsidRDefault="005D0208" w:rsidP="005D0208">
      <w:pPr>
        <w:adjustRightInd w:val="0"/>
        <w:snapToGrid w:val="0"/>
        <w:spacing w:line="590" w:lineRule="exact"/>
        <w:ind w:firstLineChars="200" w:firstLine="640"/>
        <w:rPr>
          <w:rFonts w:ascii="仿宋_GB2312" w:eastAsia="仿宋_GB2312" w:hAnsi="微软雅黑"/>
          <w:color w:val="191919"/>
          <w:sz w:val="32"/>
          <w:szCs w:val="32"/>
        </w:rPr>
      </w:pPr>
    </w:p>
    <w:p w:rsidR="009C58D7" w:rsidRPr="005D0208" w:rsidRDefault="009C58D7" w:rsidP="005D0208">
      <w:pPr>
        <w:adjustRightInd w:val="0"/>
        <w:snapToGrid w:val="0"/>
        <w:spacing w:line="590" w:lineRule="exact"/>
        <w:ind w:firstLineChars="200" w:firstLine="640"/>
        <w:rPr>
          <w:rFonts w:ascii="仿宋_GB2312" w:eastAsia="仿宋_GB2312" w:hAnsi="微软雅黑"/>
          <w:color w:val="191919"/>
          <w:sz w:val="32"/>
          <w:szCs w:val="32"/>
        </w:rPr>
      </w:pPr>
      <w:r w:rsidRPr="00422EB3">
        <w:rPr>
          <w:rFonts w:ascii="楷体_GB2312" w:eastAsia="楷体_GB2312" w:hAnsi="黑体" w:cs="宋体" w:hint="eastAsia"/>
          <w:color w:val="000000" w:themeColor="text1"/>
          <w:kern w:val="0"/>
          <w:sz w:val="32"/>
          <w:szCs w:val="32"/>
        </w:rPr>
        <w:t>7.基层治理现代化背景下乡镇（街道）执法体制改革之</w:t>
      </w:r>
      <w:r w:rsidRPr="00473A2E">
        <w:rPr>
          <w:rFonts w:ascii="仿宋" w:eastAsia="仿宋" w:hAnsi="仿宋" w:cs="Times New Roman" w:hint="eastAsia"/>
          <w:color w:val="000000" w:themeColor="text1"/>
          <w:sz w:val="32"/>
          <w:szCs w:val="32"/>
        </w:rPr>
        <w:t>研究（编号：2020jssf007）</w:t>
      </w:r>
    </w:p>
    <w:p w:rsidR="009C58D7" w:rsidRPr="00473A2E" w:rsidRDefault="009C58D7" w:rsidP="00422EB3">
      <w:pPr>
        <w:adjustRightInd w:val="0"/>
        <w:snapToGrid w:val="0"/>
        <w:spacing w:line="590" w:lineRule="exact"/>
        <w:ind w:firstLineChars="200" w:firstLine="643"/>
        <w:rPr>
          <w:rFonts w:ascii="仿宋" w:eastAsia="仿宋" w:hAnsi="仿宋" w:cs="Times New Roman"/>
          <w:color w:val="000000" w:themeColor="text1"/>
          <w:sz w:val="32"/>
          <w:szCs w:val="32"/>
        </w:rPr>
      </w:pPr>
      <w:r w:rsidRPr="00422EB3">
        <w:rPr>
          <w:rFonts w:ascii="仿宋_GB2312" w:eastAsia="仿宋_GB2312" w:hAnsi="仿宋" w:cs="Times New Roman" w:hint="eastAsia"/>
          <w:b/>
          <w:sz w:val="32"/>
          <w:szCs w:val="32"/>
        </w:rPr>
        <w:t>课题的必要性：</w:t>
      </w:r>
      <w:r w:rsidRPr="00473A2E">
        <w:rPr>
          <w:rFonts w:ascii="仿宋" w:eastAsia="仿宋" w:hAnsi="仿宋" w:cs="Times New Roman" w:hint="eastAsia"/>
          <w:color w:val="000000" w:themeColor="text1"/>
          <w:sz w:val="32"/>
          <w:szCs w:val="32"/>
        </w:rPr>
        <w:t>基层治理是国家治理的基石，基层治理现代化是国家治理现代化的重要组成部分。根据中共中央办公厅、国务院办公厅《关于推进基层审批服务执法力量的实施意见》要求，2020年1月8日，省委办公厅、省政府办公厅制定印发了《关于推进基层整合审批服务执法力量的实施方案》。实施方案指出要践行以人民为中心的发展思想，构建简约高效的基层管理体制。在此背景下，加强对乡镇（街道）基层综合执法体制改革进行研究，依法有效解决基层管理区域“看得见管不着”等“执法体制权责脱节”问题，为推动基层治理体系和治理能力现代化，全面提升基层治理效能提供法治保障。</w:t>
      </w:r>
    </w:p>
    <w:p w:rsidR="005D0208" w:rsidRDefault="009C58D7" w:rsidP="005D0208">
      <w:pPr>
        <w:adjustRightInd w:val="0"/>
        <w:snapToGrid w:val="0"/>
        <w:spacing w:line="590" w:lineRule="exact"/>
        <w:ind w:firstLineChars="200" w:firstLine="643"/>
        <w:rPr>
          <w:rFonts w:ascii="仿宋" w:eastAsia="仿宋" w:hAnsi="仿宋" w:cs="Times New Roman"/>
          <w:color w:val="000000" w:themeColor="text1"/>
          <w:sz w:val="32"/>
          <w:szCs w:val="32"/>
        </w:rPr>
      </w:pPr>
      <w:r w:rsidRPr="00422EB3">
        <w:rPr>
          <w:rFonts w:ascii="仿宋_GB2312" w:eastAsia="仿宋_GB2312" w:hAnsi="仿宋" w:cs="Times New Roman" w:hint="eastAsia"/>
          <w:b/>
          <w:sz w:val="32"/>
          <w:szCs w:val="32"/>
        </w:rPr>
        <w:t>研究范围及要求：</w:t>
      </w:r>
      <w:r w:rsidR="00CD15FA">
        <w:rPr>
          <w:rFonts w:ascii="仿宋" w:eastAsia="仿宋" w:hAnsi="仿宋" w:cs="Times New Roman" w:hint="eastAsia"/>
          <w:color w:val="000000" w:themeColor="text1"/>
          <w:sz w:val="32"/>
          <w:szCs w:val="32"/>
        </w:rPr>
        <w:t>针对</w:t>
      </w:r>
      <w:r w:rsidRPr="00473A2E">
        <w:rPr>
          <w:rFonts w:ascii="仿宋" w:eastAsia="仿宋" w:hAnsi="仿宋" w:cs="Times New Roman" w:hint="eastAsia"/>
          <w:color w:val="000000" w:themeColor="text1"/>
          <w:sz w:val="32"/>
          <w:szCs w:val="32"/>
        </w:rPr>
        <w:t>综合执法机构、基层审批服务机构以及基层网格管理和服务平台的整合、组建、设置；基层</w:t>
      </w:r>
      <w:r w:rsidR="00CD15FA">
        <w:rPr>
          <w:rFonts w:ascii="仿宋" w:eastAsia="仿宋" w:hAnsi="仿宋" w:cs="Times New Roman" w:hint="eastAsia"/>
          <w:color w:val="000000" w:themeColor="text1"/>
          <w:sz w:val="32"/>
          <w:szCs w:val="32"/>
        </w:rPr>
        <w:t>执法</w:t>
      </w:r>
      <w:r w:rsidRPr="00473A2E">
        <w:rPr>
          <w:rFonts w:ascii="仿宋" w:eastAsia="仿宋" w:hAnsi="仿宋" w:cs="Times New Roman" w:hint="eastAsia"/>
          <w:color w:val="000000" w:themeColor="text1"/>
          <w:sz w:val="32"/>
          <w:szCs w:val="32"/>
        </w:rPr>
        <w:t>人员编制的管理创新；</w:t>
      </w:r>
      <w:r w:rsidR="00CD15FA">
        <w:rPr>
          <w:rFonts w:ascii="仿宋" w:eastAsia="仿宋" w:hAnsi="仿宋" w:cs="Times New Roman" w:hint="eastAsia"/>
          <w:color w:val="000000" w:themeColor="text1"/>
          <w:sz w:val="32"/>
          <w:szCs w:val="32"/>
        </w:rPr>
        <w:t>理顺</w:t>
      </w:r>
      <w:r w:rsidRPr="00473A2E">
        <w:rPr>
          <w:rFonts w:ascii="仿宋" w:eastAsia="仿宋" w:hAnsi="仿宋" w:cs="Times New Roman" w:hint="eastAsia"/>
          <w:color w:val="000000" w:themeColor="text1"/>
          <w:sz w:val="32"/>
          <w:szCs w:val="32"/>
        </w:rPr>
        <w:t>乡镇和街道机构“一对多”“多对一”的</w:t>
      </w:r>
      <w:r w:rsidR="00CD15FA">
        <w:rPr>
          <w:rFonts w:ascii="仿宋" w:eastAsia="仿宋" w:hAnsi="仿宋" w:cs="Times New Roman" w:hint="eastAsia"/>
          <w:color w:val="000000" w:themeColor="text1"/>
          <w:sz w:val="32"/>
          <w:szCs w:val="32"/>
        </w:rPr>
        <w:t>工作</w:t>
      </w:r>
      <w:r w:rsidRPr="00473A2E">
        <w:rPr>
          <w:rFonts w:ascii="仿宋" w:eastAsia="仿宋" w:hAnsi="仿宋" w:cs="Times New Roman" w:hint="eastAsia"/>
          <w:color w:val="000000" w:themeColor="text1"/>
          <w:sz w:val="32"/>
          <w:szCs w:val="32"/>
        </w:rPr>
        <w:t>机制</w:t>
      </w:r>
      <w:r w:rsidR="00CD15FA">
        <w:rPr>
          <w:rFonts w:ascii="仿宋" w:eastAsia="仿宋" w:hAnsi="仿宋" w:cs="Times New Roman" w:hint="eastAsia"/>
          <w:color w:val="000000" w:themeColor="text1"/>
          <w:sz w:val="32"/>
          <w:szCs w:val="32"/>
        </w:rPr>
        <w:t>等</w:t>
      </w:r>
      <w:r w:rsidR="00C70F50">
        <w:rPr>
          <w:rFonts w:ascii="仿宋" w:eastAsia="仿宋" w:hAnsi="仿宋" w:cs="Times New Roman" w:hint="eastAsia"/>
          <w:color w:val="000000" w:themeColor="text1"/>
          <w:sz w:val="32"/>
          <w:szCs w:val="32"/>
        </w:rPr>
        <w:t>方面</w:t>
      </w:r>
      <w:r w:rsidR="00AE5CFF">
        <w:rPr>
          <w:rFonts w:ascii="仿宋" w:eastAsia="仿宋" w:hAnsi="仿宋" w:cs="Times New Roman" w:hint="eastAsia"/>
          <w:color w:val="000000" w:themeColor="text1"/>
          <w:sz w:val="32"/>
          <w:szCs w:val="32"/>
        </w:rPr>
        <w:t>开展</w:t>
      </w:r>
      <w:r w:rsidR="00CD15FA">
        <w:rPr>
          <w:rFonts w:ascii="仿宋" w:eastAsia="仿宋" w:hAnsi="仿宋" w:cs="Times New Roman" w:hint="eastAsia"/>
          <w:color w:val="000000" w:themeColor="text1"/>
          <w:sz w:val="32"/>
          <w:szCs w:val="32"/>
        </w:rPr>
        <w:t>研究</w:t>
      </w:r>
      <w:r w:rsidR="00942086">
        <w:rPr>
          <w:rFonts w:ascii="仿宋" w:eastAsia="仿宋" w:hAnsi="仿宋" w:cs="Times New Roman" w:hint="eastAsia"/>
          <w:color w:val="000000" w:themeColor="text1"/>
          <w:sz w:val="32"/>
          <w:szCs w:val="32"/>
        </w:rPr>
        <w:t>。</w:t>
      </w:r>
    </w:p>
    <w:p w:rsidR="005D0208" w:rsidRDefault="005D0208" w:rsidP="005D0208">
      <w:pPr>
        <w:adjustRightInd w:val="0"/>
        <w:snapToGrid w:val="0"/>
        <w:spacing w:line="590" w:lineRule="exact"/>
        <w:ind w:firstLineChars="200" w:firstLine="640"/>
        <w:rPr>
          <w:rFonts w:ascii="仿宋" w:eastAsia="仿宋" w:hAnsi="仿宋" w:cs="Times New Roman"/>
          <w:color w:val="000000" w:themeColor="text1"/>
          <w:sz w:val="32"/>
          <w:szCs w:val="32"/>
        </w:rPr>
      </w:pPr>
    </w:p>
    <w:p w:rsidR="007D01BB" w:rsidRPr="005D0208" w:rsidRDefault="007D01BB" w:rsidP="005D0208">
      <w:pPr>
        <w:adjustRightInd w:val="0"/>
        <w:snapToGrid w:val="0"/>
        <w:spacing w:line="590" w:lineRule="exact"/>
        <w:ind w:firstLineChars="200" w:firstLine="640"/>
        <w:rPr>
          <w:rFonts w:ascii="仿宋" w:eastAsia="仿宋" w:hAnsi="仿宋" w:cs="Times New Roman"/>
          <w:color w:val="000000" w:themeColor="text1"/>
          <w:sz w:val="32"/>
          <w:szCs w:val="32"/>
        </w:rPr>
      </w:pPr>
      <w:r w:rsidRPr="00422EB3">
        <w:rPr>
          <w:rFonts w:ascii="楷体_GB2312" w:eastAsia="楷体_GB2312" w:hAnsi="黑体" w:cs="宋体" w:hint="eastAsia"/>
          <w:color w:val="000000" w:themeColor="text1"/>
          <w:kern w:val="0"/>
          <w:sz w:val="32"/>
          <w:szCs w:val="32"/>
        </w:rPr>
        <w:t>8.</w:t>
      </w:r>
      <w:r w:rsidRPr="00422EB3">
        <w:rPr>
          <w:rFonts w:ascii="楷体_GB2312" w:eastAsia="楷体_GB2312" w:hAnsi="黑体" w:cs="宋体"/>
          <w:color w:val="000000" w:themeColor="text1"/>
          <w:kern w:val="0"/>
          <w:sz w:val="32"/>
          <w:szCs w:val="32"/>
        </w:rPr>
        <w:t>江苏涉外法律服务</w:t>
      </w:r>
      <w:r w:rsidRPr="00422EB3">
        <w:rPr>
          <w:rFonts w:ascii="楷体_GB2312" w:eastAsia="楷体_GB2312" w:hAnsi="黑体" w:cs="宋体" w:hint="eastAsia"/>
          <w:color w:val="000000" w:themeColor="text1"/>
          <w:kern w:val="0"/>
          <w:sz w:val="32"/>
          <w:szCs w:val="32"/>
        </w:rPr>
        <w:t>体系</w:t>
      </w:r>
      <w:r w:rsidRPr="00422EB3">
        <w:rPr>
          <w:rFonts w:ascii="楷体_GB2312" w:eastAsia="楷体_GB2312" w:hAnsi="黑体" w:cs="宋体"/>
          <w:color w:val="000000" w:themeColor="text1"/>
          <w:kern w:val="0"/>
          <w:sz w:val="32"/>
          <w:szCs w:val="32"/>
        </w:rPr>
        <w:t>研究</w:t>
      </w:r>
      <w:r w:rsidRPr="00422EB3">
        <w:rPr>
          <w:rFonts w:ascii="楷体_GB2312" w:eastAsia="楷体_GB2312" w:hAnsi="黑体" w:cs="宋体" w:hint="eastAsia"/>
          <w:color w:val="000000" w:themeColor="text1"/>
          <w:kern w:val="0"/>
          <w:sz w:val="32"/>
          <w:szCs w:val="32"/>
        </w:rPr>
        <w:t>（编号：2020jssf008）</w:t>
      </w:r>
    </w:p>
    <w:p w:rsidR="007D01BB" w:rsidRPr="003571E8" w:rsidRDefault="007D01BB" w:rsidP="00422EB3">
      <w:pPr>
        <w:adjustRightInd w:val="0"/>
        <w:snapToGrid w:val="0"/>
        <w:spacing w:line="590" w:lineRule="exact"/>
        <w:ind w:firstLineChars="200" w:firstLine="643"/>
        <w:rPr>
          <w:rFonts w:ascii="仿宋_GB2312" w:eastAsia="仿宋_GB2312" w:hAnsi="仿宋" w:cs="Times New Roman"/>
          <w:color w:val="000000" w:themeColor="text1"/>
          <w:sz w:val="32"/>
          <w:szCs w:val="32"/>
        </w:rPr>
      </w:pPr>
      <w:r w:rsidRPr="00422EB3">
        <w:rPr>
          <w:rFonts w:ascii="仿宋_GB2312" w:eastAsia="仿宋_GB2312" w:hAnsi="仿宋" w:cs="Times New Roman" w:hint="eastAsia"/>
          <w:b/>
          <w:sz w:val="32"/>
          <w:szCs w:val="32"/>
        </w:rPr>
        <w:t>课题的必要性：</w:t>
      </w:r>
      <w:r w:rsidRPr="003571E8">
        <w:rPr>
          <w:rFonts w:ascii="仿宋_GB2312" w:eastAsia="仿宋_GB2312" w:hAnsi="微软雅黑" w:hint="eastAsia"/>
          <w:color w:val="191919"/>
          <w:sz w:val="32"/>
          <w:szCs w:val="32"/>
        </w:rPr>
        <w:t>随着“一带一路”国家战略规划的实施，发展涉外法律服务，提高我国涉外法律服务水平，已成为当务之急。近年来，江苏涉外法律服务队伍不断壮大，涉外服务领域日益拓</w:t>
      </w:r>
      <w:r w:rsidRPr="003571E8">
        <w:rPr>
          <w:rFonts w:ascii="仿宋_GB2312" w:eastAsia="仿宋_GB2312" w:hAnsi="微软雅黑" w:hint="eastAsia"/>
          <w:color w:val="191919"/>
          <w:sz w:val="32"/>
          <w:szCs w:val="32"/>
        </w:rPr>
        <w:lastRenderedPageBreak/>
        <w:t>展，服务质量逐步提升，为服务开放型经济发展、促进全方位对外开放发挥了重要作用。但是，涉外法律服务在工作机制、政策措施、服务质量、人才培养等方面仍面临一些问题和挑战。因此，建立健全涉外法律服务工作体制机制，逐步形成完备的</w:t>
      </w:r>
      <w:r w:rsidRPr="003571E8">
        <w:rPr>
          <w:rFonts w:ascii="仿宋_GB2312" w:eastAsia="仿宋_GB2312" w:hAnsi="微软雅黑"/>
          <w:color w:val="191919"/>
          <w:sz w:val="32"/>
          <w:szCs w:val="32"/>
        </w:rPr>
        <w:t>江苏涉外法律服务</w:t>
      </w:r>
      <w:r w:rsidRPr="003571E8">
        <w:rPr>
          <w:rFonts w:ascii="仿宋_GB2312" w:eastAsia="仿宋_GB2312" w:hAnsi="微软雅黑" w:hint="eastAsia"/>
          <w:color w:val="191919"/>
          <w:sz w:val="32"/>
          <w:szCs w:val="32"/>
        </w:rPr>
        <w:t>体系，</w:t>
      </w:r>
      <w:r w:rsidR="004279C6">
        <w:rPr>
          <w:rFonts w:ascii="仿宋_GB2312" w:eastAsia="仿宋_GB2312" w:hAnsi="微软雅黑" w:hint="eastAsia"/>
          <w:color w:val="191919"/>
          <w:sz w:val="32"/>
          <w:szCs w:val="32"/>
        </w:rPr>
        <w:t>将</w:t>
      </w:r>
      <w:r w:rsidRPr="003571E8">
        <w:rPr>
          <w:rFonts w:ascii="仿宋_GB2312" w:eastAsia="仿宋_GB2312" w:hAnsi="微软雅黑" w:hint="eastAsia"/>
          <w:color w:val="191919"/>
          <w:sz w:val="32"/>
          <w:szCs w:val="32"/>
        </w:rPr>
        <w:t>有力推动江苏涉外法律服务业发展，为更高水平服务“一带一路”建设贡献江苏力量</w:t>
      </w:r>
      <w:r w:rsidR="004279C6">
        <w:rPr>
          <w:rFonts w:ascii="仿宋_GB2312" w:eastAsia="仿宋_GB2312" w:hAnsi="微软雅黑" w:hint="eastAsia"/>
          <w:color w:val="191919"/>
          <w:sz w:val="32"/>
          <w:szCs w:val="32"/>
        </w:rPr>
        <w:t>。</w:t>
      </w:r>
    </w:p>
    <w:p w:rsidR="007D01BB" w:rsidRDefault="007D01BB" w:rsidP="00422EB3">
      <w:pPr>
        <w:adjustRightInd w:val="0"/>
        <w:snapToGrid w:val="0"/>
        <w:spacing w:line="590" w:lineRule="exact"/>
        <w:ind w:firstLineChars="200" w:firstLine="643"/>
        <w:rPr>
          <w:rFonts w:ascii="仿宋_GB2312" w:eastAsia="仿宋_GB2312" w:hAnsi="微软雅黑"/>
          <w:color w:val="191919"/>
          <w:sz w:val="32"/>
          <w:szCs w:val="32"/>
        </w:rPr>
      </w:pPr>
      <w:r w:rsidRPr="00422EB3">
        <w:rPr>
          <w:rFonts w:ascii="仿宋_GB2312" w:eastAsia="仿宋_GB2312" w:hAnsi="仿宋" w:cs="Times New Roman" w:hint="eastAsia"/>
          <w:b/>
          <w:sz w:val="32"/>
          <w:szCs w:val="32"/>
        </w:rPr>
        <w:t>研究范围及要求：</w:t>
      </w:r>
      <w:r w:rsidRPr="003571E8">
        <w:rPr>
          <w:rFonts w:ascii="仿宋_GB2312" w:eastAsia="仿宋_GB2312" w:hAnsi="微软雅黑" w:hint="eastAsia"/>
          <w:color w:val="191919"/>
          <w:sz w:val="32"/>
          <w:szCs w:val="32"/>
        </w:rPr>
        <w:t>结合江苏涉外法律服务发展现状，梳理江苏涉外法律服务发展中存在的客观问题，从着力完善涉外法律服务布局、加快涉外法律服务人才培育，稳步推进涉外法律服务业开放、协调落实政策支持等方面对健全完善江苏</w:t>
      </w:r>
      <w:r w:rsidRPr="003571E8">
        <w:rPr>
          <w:rFonts w:ascii="仿宋_GB2312" w:eastAsia="仿宋_GB2312" w:hAnsi="仿宋" w:cs="Times New Roman" w:hint="eastAsia"/>
          <w:color w:val="000000" w:themeColor="text1"/>
          <w:sz w:val="32"/>
          <w:szCs w:val="32"/>
        </w:rPr>
        <w:t>涉外法律服务体系建设提出切实可行的对策建议</w:t>
      </w:r>
      <w:r w:rsidRPr="003571E8">
        <w:rPr>
          <w:rFonts w:ascii="仿宋_GB2312" w:eastAsia="仿宋_GB2312" w:hAnsi="微软雅黑" w:hint="eastAsia"/>
          <w:color w:val="191919"/>
          <w:sz w:val="32"/>
          <w:szCs w:val="32"/>
        </w:rPr>
        <w:t>。</w:t>
      </w:r>
    </w:p>
    <w:p w:rsidR="00422EB3" w:rsidRPr="003571E8" w:rsidRDefault="00422EB3" w:rsidP="00422EB3">
      <w:pPr>
        <w:adjustRightInd w:val="0"/>
        <w:snapToGrid w:val="0"/>
        <w:spacing w:line="590" w:lineRule="exact"/>
        <w:ind w:firstLineChars="200" w:firstLine="640"/>
        <w:rPr>
          <w:rFonts w:ascii="仿宋_GB2312" w:eastAsia="仿宋_GB2312" w:hAnsi="仿宋" w:cs="Times New Roman"/>
          <w:color w:val="000000" w:themeColor="text1"/>
          <w:sz w:val="32"/>
          <w:szCs w:val="32"/>
        </w:rPr>
      </w:pPr>
    </w:p>
    <w:p w:rsidR="007D01BB" w:rsidRPr="00422EB3" w:rsidRDefault="007D01BB" w:rsidP="00422EB3">
      <w:pPr>
        <w:adjustRightInd w:val="0"/>
        <w:snapToGrid w:val="0"/>
        <w:spacing w:line="590" w:lineRule="exact"/>
        <w:ind w:firstLineChars="200" w:firstLine="640"/>
        <w:rPr>
          <w:rFonts w:ascii="楷体_GB2312" w:eastAsia="楷体_GB2312" w:hAnsi="黑体" w:cs="宋体"/>
          <w:color w:val="000000" w:themeColor="text1"/>
          <w:kern w:val="0"/>
          <w:sz w:val="32"/>
          <w:szCs w:val="32"/>
        </w:rPr>
      </w:pPr>
      <w:r w:rsidRPr="00422EB3">
        <w:rPr>
          <w:rFonts w:ascii="楷体_GB2312" w:eastAsia="楷体_GB2312" w:hAnsi="黑体" w:cs="宋体" w:hint="eastAsia"/>
          <w:color w:val="000000" w:themeColor="text1"/>
          <w:kern w:val="0"/>
          <w:sz w:val="32"/>
          <w:szCs w:val="32"/>
        </w:rPr>
        <w:t>9.国有土地出让合同争议的可仲裁性研究（编号：2020jssf009）</w:t>
      </w:r>
    </w:p>
    <w:p w:rsidR="007D01BB" w:rsidRPr="003571E8" w:rsidRDefault="007D01BB" w:rsidP="00422EB3">
      <w:pPr>
        <w:adjustRightInd w:val="0"/>
        <w:snapToGrid w:val="0"/>
        <w:spacing w:line="590" w:lineRule="exact"/>
        <w:ind w:firstLineChars="200" w:firstLine="643"/>
        <w:rPr>
          <w:rFonts w:ascii="仿宋_GB2312" w:eastAsia="仿宋_GB2312" w:hAnsi="微软雅黑"/>
          <w:color w:val="191919"/>
          <w:sz w:val="32"/>
          <w:szCs w:val="32"/>
        </w:rPr>
      </w:pPr>
      <w:r w:rsidRPr="00422EB3">
        <w:rPr>
          <w:rFonts w:ascii="仿宋_GB2312" w:eastAsia="仿宋_GB2312" w:hAnsi="仿宋" w:cs="Times New Roman" w:hint="eastAsia"/>
          <w:b/>
          <w:sz w:val="32"/>
          <w:szCs w:val="32"/>
        </w:rPr>
        <w:t>课题的必要性：</w:t>
      </w:r>
      <w:r w:rsidRPr="003571E8">
        <w:rPr>
          <w:rFonts w:ascii="仿宋_GB2312" w:eastAsia="仿宋_GB2312" w:hAnsi="微软雅黑" w:hint="eastAsia"/>
          <w:color w:val="191919"/>
          <w:sz w:val="32"/>
          <w:szCs w:val="32"/>
        </w:rPr>
        <w:t>司法实践中对于国有土地出让合同纠纷属于民事合同还是行政合同存在纷争，近年来，全国仲裁机构受理了大量国有土地出让合同纠纷。2019年11月，最高人民法院最新发布的《最高人民法院关于审理行政协议案件若干问题的规定》第二十六条规定，行政协议约定仲裁条款的，人民法院应当确认该条款无效。因此，国有土地出让合同的定性及能否运用仲裁方式解决相关争议是</w:t>
      </w:r>
      <w:r w:rsidR="004279C6">
        <w:rPr>
          <w:rFonts w:ascii="仿宋_GB2312" w:eastAsia="仿宋_GB2312" w:hAnsi="微软雅黑" w:hint="eastAsia"/>
          <w:color w:val="191919"/>
          <w:sz w:val="32"/>
          <w:szCs w:val="32"/>
        </w:rPr>
        <w:t>亟待解决的重要问题，对于多元化解矛盾纠纷、维护当事人的合法权益、</w:t>
      </w:r>
      <w:r w:rsidRPr="003571E8">
        <w:rPr>
          <w:rFonts w:ascii="仿宋_GB2312" w:eastAsia="仿宋_GB2312" w:hAnsi="微软雅黑" w:hint="eastAsia"/>
          <w:color w:val="191919"/>
          <w:sz w:val="32"/>
          <w:szCs w:val="32"/>
        </w:rPr>
        <w:t>构建和谐社会具有重要意义。</w:t>
      </w:r>
    </w:p>
    <w:p w:rsidR="007D01BB" w:rsidRPr="003571E8" w:rsidRDefault="007D01BB" w:rsidP="00422EB3">
      <w:pPr>
        <w:adjustRightInd w:val="0"/>
        <w:snapToGrid w:val="0"/>
        <w:spacing w:line="590" w:lineRule="exact"/>
        <w:ind w:firstLineChars="200" w:firstLine="643"/>
        <w:rPr>
          <w:rFonts w:ascii="仿宋_GB2312" w:eastAsia="仿宋_GB2312" w:hAnsi="微软雅黑"/>
          <w:color w:val="191919"/>
          <w:sz w:val="32"/>
          <w:szCs w:val="32"/>
        </w:rPr>
      </w:pPr>
      <w:r w:rsidRPr="00422EB3">
        <w:rPr>
          <w:rFonts w:ascii="仿宋_GB2312" w:eastAsia="仿宋_GB2312" w:hAnsi="仿宋" w:cs="Times New Roman" w:hint="eastAsia"/>
          <w:b/>
          <w:sz w:val="32"/>
          <w:szCs w:val="32"/>
        </w:rPr>
        <w:t>研究范围及要求：</w:t>
      </w:r>
      <w:r w:rsidRPr="003571E8">
        <w:rPr>
          <w:rFonts w:ascii="仿宋_GB2312" w:eastAsia="仿宋_GB2312" w:hAnsi="微软雅黑" w:hint="eastAsia"/>
          <w:color w:val="191919"/>
          <w:sz w:val="32"/>
          <w:szCs w:val="32"/>
        </w:rPr>
        <w:t>对国有土地出让合同的定性及能否运用仲</w:t>
      </w:r>
      <w:r w:rsidRPr="003571E8">
        <w:rPr>
          <w:rFonts w:ascii="仿宋_GB2312" w:eastAsia="仿宋_GB2312" w:hAnsi="微软雅黑" w:hint="eastAsia"/>
          <w:color w:val="191919"/>
          <w:sz w:val="32"/>
          <w:szCs w:val="32"/>
        </w:rPr>
        <w:lastRenderedPageBreak/>
        <w:t>裁方式解决相关争议等问题，从理论和实践角度研究、论证并加以厘清。</w:t>
      </w:r>
    </w:p>
    <w:p w:rsidR="00F75565" w:rsidRPr="007D01BB" w:rsidRDefault="00F75565" w:rsidP="00422EB3">
      <w:pPr>
        <w:adjustRightInd w:val="0"/>
        <w:snapToGrid w:val="0"/>
        <w:spacing w:line="590" w:lineRule="exact"/>
        <w:ind w:firstLineChars="200" w:firstLine="640"/>
        <w:jc w:val="right"/>
        <w:rPr>
          <w:rFonts w:ascii="仿宋_GB2312" w:eastAsia="仿宋_GB2312" w:hAnsi="微软雅黑"/>
          <w:color w:val="191919"/>
          <w:sz w:val="32"/>
          <w:szCs w:val="32"/>
        </w:rPr>
      </w:pPr>
    </w:p>
    <w:sectPr w:rsidR="00F75565" w:rsidRPr="007D01BB" w:rsidSect="008A24BA">
      <w:footerReference w:type="default" r:id="rId7"/>
      <w:pgSz w:w="11906" w:h="16838"/>
      <w:pgMar w:top="1418" w:right="1418" w:bottom="1418" w:left="141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5CCE" w:rsidRDefault="00A45CCE" w:rsidP="006A7B49">
      <w:r>
        <w:separator/>
      </w:r>
    </w:p>
  </w:endnote>
  <w:endnote w:type="continuationSeparator" w:id="1">
    <w:p w:rsidR="00A45CCE" w:rsidRDefault="00A45CCE" w:rsidP="006A7B4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Microsoft Yahei">
    <w:altName w:val="Times New Roman"/>
    <w:panose1 w:val="00000000000000000000"/>
    <w:charset w:val="00"/>
    <w:family w:val="roman"/>
    <w:notTrueType/>
    <w:pitch w:val="default"/>
    <w:sig w:usb0="00000000" w:usb1="00000000" w:usb2="00000000" w:usb3="00000000" w:csb0="00000000" w:csb1="00000000"/>
  </w:font>
  <w:font w:name="微软雅黑">
    <w:panose1 w:val="020B0503020204020204"/>
    <w:charset w:val="86"/>
    <w:family w:val="swiss"/>
    <w:pitch w:val="variable"/>
    <w:sig w:usb0="80000287" w:usb1="280F3C52" w:usb2="00000016" w:usb3="00000000" w:csb0="0004001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5765221"/>
      <w:docPartObj>
        <w:docPartGallery w:val="Page Numbers (Bottom of Page)"/>
        <w:docPartUnique/>
      </w:docPartObj>
    </w:sdtPr>
    <w:sdtEndPr>
      <w:rPr>
        <w:rFonts w:asciiTheme="majorEastAsia" w:eastAsiaTheme="majorEastAsia" w:hAnsiTheme="majorEastAsia"/>
      </w:rPr>
    </w:sdtEndPr>
    <w:sdtContent>
      <w:p w:rsidR="000E4045" w:rsidRPr="00FD16CB" w:rsidRDefault="00320090">
        <w:pPr>
          <w:pStyle w:val="a4"/>
          <w:jc w:val="center"/>
          <w:rPr>
            <w:rFonts w:asciiTheme="majorEastAsia" w:eastAsiaTheme="majorEastAsia" w:hAnsiTheme="majorEastAsia"/>
          </w:rPr>
        </w:pPr>
        <w:r w:rsidRPr="00757F35">
          <w:rPr>
            <w:rFonts w:ascii="Times New Roman" w:hAnsi="Times New Roman" w:cs="Times New Roman"/>
          </w:rPr>
          <w:fldChar w:fldCharType="begin"/>
        </w:r>
        <w:r w:rsidR="000E4045" w:rsidRPr="00757F35">
          <w:rPr>
            <w:rFonts w:ascii="Times New Roman" w:hAnsi="Times New Roman" w:cs="Times New Roman"/>
          </w:rPr>
          <w:instrText>PAGE   \* MERGEFORMAT</w:instrText>
        </w:r>
        <w:r w:rsidRPr="00757F35">
          <w:rPr>
            <w:rFonts w:ascii="Times New Roman" w:hAnsi="Times New Roman" w:cs="Times New Roman"/>
          </w:rPr>
          <w:fldChar w:fldCharType="separate"/>
        </w:r>
        <w:r w:rsidR="00831130" w:rsidRPr="00831130">
          <w:rPr>
            <w:rFonts w:ascii="Times New Roman" w:hAnsi="Times New Roman" w:cs="Times New Roman"/>
            <w:noProof/>
            <w:lang w:val="zh-CN"/>
          </w:rPr>
          <w:t>6</w:t>
        </w:r>
        <w:r w:rsidRPr="00757F35">
          <w:rPr>
            <w:rFonts w:ascii="Times New Roman" w:hAnsi="Times New Roman" w:cs="Times New Roman"/>
          </w:rPr>
          <w:fldChar w:fldCharType="end"/>
        </w:r>
      </w:p>
    </w:sdtContent>
  </w:sdt>
  <w:p w:rsidR="000E4045" w:rsidRPr="00FD16CB" w:rsidRDefault="000E4045">
    <w:pPr>
      <w:pStyle w:val="a4"/>
      <w:rPr>
        <w:rFonts w:asciiTheme="minorEastAsia" w:hAnsiTheme="minorEastAsi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5CCE" w:rsidRDefault="00A45CCE" w:rsidP="006A7B49">
      <w:r>
        <w:separator/>
      </w:r>
    </w:p>
  </w:footnote>
  <w:footnote w:type="continuationSeparator" w:id="1">
    <w:p w:rsidR="00A45CCE" w:rsidRDefault="00A45CCE" w:rsidP="006A7B4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A7B49"/>
    <w:rsid w:val="00002DD5"/>
    <w:rsid w:val="00014BC8"/>
    <w:rsid w:val="00023224"/>
    <w:rsid w:val="00025DA1"/>
    <w:rsid w:val="00037C88"/>
    <w:rsid w:val="00056352"/>
    <w:rsid w:val="000B21CA"/>
    <w:rsid w:val="000B7723"/>
    <w:rsid w:val="000C14B0"/>
    <w:rsid w:val="000C2F59"/>
    <w:rsid w:val="000E22A9"/>
    <w:rsid w:val="000E4045"/>
    <w:rsid w:val="000F5008"/>
    <w:rsid w:val="001065F6"/>
    <w:rsid w:val="00133E6C"/>
    <w:rsid w:val="00154F91"/>
    <w:rsid w:val="001A0677"/>
    <w:rsid w:val="001A20FF"/>
    <w:rsid w:val="001A3031"/>
    <w:rsid w:val="001A4EC9"/>
    <w:rsid w:val="001C2169"/>
    <w:rsid w:val="001C3F00"/>
    <w:rsid w:val="001D1DC2"/>
    <w:rsid w:val="001D4B7E"/>
    <w:rsid w:val="001E473D"/>
    <w:rsid w:val="001E4BA3"/>
    <w:rsid w:val="0022688A"/>
    <w:rsid w:val="00226984"/>
    <w:rsid w:val="002362AF"/>
    <w:rsid w:val="00243473"/>
    <w:rsid w:val="002529D7"/>
    <w:rsid w:val="0025506F"/>
    <w:rsid w:val="00287A6C"/>
    <w:rsid w:val="002B62D7"/>
    <w:rsid w:val="002D0867"/>
    <w:rsid w:val="002F404E"/>
    <w:rsid w:val="002F6C02"/>
    <w:rsid w:val="003027A4"/>
    <w:rsid w:val="00305714"/>
    <w:rsid w:val="00320090"/>
    <w:rsid w:val="003203C9"/>
    <w:rsid w:val="0032353B"/>
    <w:rsid w:val="003242B7"/>
    <w:rsid w:val="003279A6"/>
    <w:rsid w:val="003571E8"/>
    <w:rsid w:val="003908BF"/>
    <w:rsid w:val="003E5B54"/>
    <w:rsid w:val="00402568"/>
    <w:rsid w:val="00415BF9"/>
    <w:rsid w:val="00417E4E"/>
    <w:rsid w:val="00422EB3"/>
    <w:rsid w:val="004279C6"/>
    <w:rsid w:val="00431835"/>
    <w:rsid w:val="00437EA3"/>
    <w:rsid w:val="0044487C"/>
    <w:rsid w:val="00445347"/>
    <w:rsid w:val="00485769"/>
    <w:rsid w:val="00486B95"/>
    <w:rsid w:val="004A2DF6"/>
    <w:rsid w:val="004B4B2D"/>
    <w:rsid w:val="004B6AE0"/>
    <w:rsid w:val="004B764E"/>
    <w:rsid w:val="004D123E"/>
    <w:rsid w:val="004D676B"/>
    <w:rsid w:val="004F0A82"/>
    <w:rsid w:val="004F25D3"/>
    <w:rsid w:val="00516298"/>
    <w:rsid w:val="005268C0"/>
    <w:rsid w:val="00526AE7"/>
    <w:rsid w:val="005356A0"/>
    <w:rsid w:val="00550321"/>
    <w:rsid w:val="00553818"/>
    <w:rsid w:val="00573199"/>
    <w:rsid w:val="005821EA"/>
    <w:rsid w:val="0059077D"/>
    <w:rsid w:val="00591055"/>
    <w:rsid w:val="005A04C5"/>
    <w:rsid w:val="005C5D4D"/>
    <w:rsid w:val="005C6B69"/>
    <w:rsid w:val="005D0208"/>
    <w:rsid w:val="005D3104"/>
    <w:rsid w:val="005E462F"/>
    <w:rsid w:val="005F3E5F"/>
    <w:rsid w:val="005F5D00"/>
    <w:rsid w:val="00601B7A"/>
    <w:rsid w:val="006066A2"/>
    <w:rsid w:val="00610338"/>
    <w:rsid w:val="006179E4"/>
    <w:rsid w:val="00636F54"/>
    <w:rsid w:val="006375EB"/>
    <w:rsid w:val="006417A8"/>
    <w:rsid w:val="00641C4E"/>
    <w:rsid w:val="00642460"/>
    <w:rsid w:val="006441FD"/>
    <w:rsid w:val="00667580"/>
    <w:rsid w:val="006972A3"/>
    <w:rsid w:val="006A7B49"/>
    <w:rsid w:val="006C4EB3"/>
    <w:rsid w:val="006D3A2C"/>
    <w:rsid w:val="006E1797"/>
    <w:rsid w:val="006E614E"/>
    <w:rsid w:val="006E78F2"/>
    <w:rsid w:val="006E7D37"/>
    <w:rsid w:val="006F5885"/>
    <w:rsid w:val="0070552D"/>
    <w:rsid w:val="00723E3E"/>
    <w:rsid w:val="007246FF"/>
    <w:rsid w:val="00726A34"/>
    <w:rsid w:val="00753E09"/>
    <w:rsid w:val="0075728F"/>
    <w:rsid w:val="00757F35"/>
    <w:rsid w:val="007603A7"/>
    <w:rsid w:val="0077247E"/>
    <w:rsid w:val="00775F9E"/>
    <w:rsid w:val="007766D0"/>
    <w:rsid w:val="00780F6A"/>
    <w:rsid w:val="007A0421"/>
    <w:rsid w:val="007A10EB"/>
    <w:rsid w:val="007B5675"/>
    <w:rsid w:val="007C3991"/>
    <w:rsid w:val="007D01BB"/>
    <w:rsid w:val="007E076E"/>
    <w:rsid w:val="007F6653"/>
    <w:rsid w:val="00800830"/>
    <w:rsid w:val="00824083"/>
    <w:rsid w:val="00826507"/>
    <w:rsid w:val="00831130"/>
    <w:rsid w:val="00840097"/>
    <w:rsid w:val="008551BF"/>
    <w:rsid w:val="00856FA2"/>
    <w:rsid w:val="00862D20"/>
    <w:rsid w:val="00870127"/>
    <w:rsid w:val="00872D32"/>
    <w:rsid w:val="008808EB"/>
    <w:rsid w:val="008A24BA"/>
    <w:rsid w:val="008B6F3D"/>
    <w:rsid w:val="008C70C2"/>
    <w:rsid w:val="008D3062"/>
    <w:rsid w:val="008E1A88"/>
    <w:rsid w:val="008E39BD"/>
    <w:rsid w:val="008E39CA"/>
    <w:rsid w:val="008E51F6"/>
    <w:rsid w:val="008F476E"/>
    <w:rsid w:val="00907023"/>
    <w:rsid w:val="0092683F"/>
    <w:rsid w:val="00934F8B"/>
    <w:rsid w:val="00942086"/>
    <w:rsid w:val="009503A6"/>
    <w:rsid w:val="00970584"/>
    <w:rsid w:val="00983C52"/>
    <w:rsid w:val="009B4090"/>
    <w:rsid w:val="009C20FC"/>
    <w:rsid w:val="009C58D7"/>
    <w:rsid w:val="009E012B"/>
    <w:rsid w:val="009E1EC9"/>
    <w:rsid w:val="009F26C1"/>
    <w:rsid w:val="009F42D1"/>
    <w:rsid w:val="00A1075E"/>
    <w:rsid w:val="00A31ED5"/>
    <w:rsid w:val="00A45B87"/>
    <w:rsid w:val="00A45CCE"/>
    <w:rsid w:val="00A46F1D"/>
    <w:rsid w:val="00A6294E"/>
    <w:rsid w:val="00A751F4"/>
    <w:rsid w:val="00A9537B"/>
    <w:rsid w:val="00AA278C"/>
    <w:rsid w:val="00AD0EF3"/>
    <w:rsid w:val="00AD4649"/>
    <w:rsid w:val="00AE3D8A"/>
    <w:rsid w:val="00AE5CFF"/>
    <w:rsid w:val="00AF3518"/>
    <w:rsid w:val="00AF742E"/>
    <w:rsid w:val="00B20DA8"/>
    <w:rsid w:val="00B311B0"/>
    <w:rsid w:val="00B44E35"/>
    <w:rsid w:val="00B823A9"/>
    <w:rsid w:val="00B839D7"/>
    <w:rsid w:val="00B91BEA"/>
    <w:rsid w:val="00B925F5"/>
    <w:rsid w:val="00B95CF8"/>
    <w:rsid w:val="00BA2E5A"/>
    <w:rsid w:val="00BA58DA"/>
    <w:rsid w:val="00BA6F24"/>
    <w:rsid w:val="00BB75B0"/>
    <w:rsid w:val="00BD646C"/>
    <w:rsid w:val="00C00569"/>
    <w:rsid w:val="00C06A6D"/>
    <w:rsid w:val="00C22564"/>
    <w:rsid w:val="00C25C4F"/>
    <w:rsid w:val="00C34D6F"/>
    <w:rsid w:val="00C4773F"/>
    <w:rsid w:val="00C70F50"/>
    <w:rsid w:val="00C82E2E"/>
    <w:rsid w:val="00C94A7C"/>
    <w:rsid w:val="00CA546B"/>
    <w:rsid w:val="00CB0BD3"/>
    <w:rsid w:val="00CB5B50"/>
    <w:rsid w:val="00CD15FA"/>
    <w:rsid w:val="00CD5F54"/>
    <w:rsid w:val="00CE21DA"/>
    <w:rsid w:val="00CF20DE"/>
    <w:rsid w:val="00CF3BA0"/>
    <w:rsid w:val="00D05634"/>
    <w:rsid w:val="00D11544"/>
    <w:rsid w:val="00D16270"/>
    <w:rsid w:val="00D21867"/>
    <w:rsid w:val="00D22702"/>
    <w:rsid w:val="00D46ABC"/>
    <w:rsid w:val="00D5437D"/>
    <w:rsid w:val="00D6033B"/>
    <w:rsid w:val="00D65983"/>
    <w:rsid w:val="00D7310F"/>
    <w:rsid w:val="00D77A33"/>
    <w:rsid w:val="00DA7533"/>
    <w:rsid w:val="00DB08C4"/>
    <w:rsid w:val="00DB1F4E"/>
    <w:rsid w:val="00DC4D93"/>
    <w:rsid w:val="00DD5BFE"/>
    <w:rsid w:val="00DD7881"/>
    <w:rsid w:val="00DF2712"/>
    <w:rsid w:val="00DF7069"/>
    <w:rsid w:val="00E10C94"/>
    <w:rsid w:val="00E13390"/>
    <w:rsid w:val="00E2063A"/>
    <w:rsid w:val="00E238C1"/>
    <w:rsid w:val="00E3353E"/>
    <w:rsid w:val="00E33F60"/>
    <w:rsid w:val="00E41A72"/>
    <w:rsid w:val="00E67E00"/>
    <w:rsid w:val="00E7116B"/>
    <w:rsid w:val="00E711EE"/>
    <w:rsid w:val="00E84B40"/>
    <w:rsid w:val="00E85866"/>
    <w:rsid w:val="00E86F7C"/>
    <w:rsid w:val="00E903D1"/>
    <w:rsid w:val="00EA593C"/>
    <w:rsid w:val="00EA7E5A"/>
    <w:rsid w:val="00EB2FC5"/>
    <w:rsid w:val="00ED305D"/>
    <w:rsid w:val="00ED75B9"/>
    <w:rsid w:val="00EE50AF"/>
    <w:rsid w:val="00EE7091"/>
    <w:rsid w:val="00EF62F2"/>
    <w:rsid w:val="00F02F0F"/>
    <w:rsid w:val="00F26D83"/>
    <w:rsid w:val="00F35397"/>
    <w:rsid w:val="00F42040"/>
    <w:rsid w:val="00F75120"/>
    <w:rsid w:val="00F75565"/>
    <w:rsid w:val="00F7678D"/>
    <w:rsid w:val="00FB1703"/>
    <w:rsid w:val="00FB20DB"/>
    <w:rsid w:val="00FD008D"/>
    <w:rsid w:val="00FD16CB"/>
    <w:rsid w:val="00FD2C66"/>
    <w:rsid w:val="00FE19BC"/>
    <w:rsid w:val="00FF1B5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6A34"/>
    <w:pPr>
      <w:widowControl w:val="0"/>
      <w:jc w:val="both"/>
    </w:pPr>
  </w:style>
  <w:style w:type="paragraph" w:styleId="1">
    <w:name w:val="heading 1"/>
    <w:basedOn w:val="a"/>
    <w:link w:val="1Char"/>
    <w:uiPriority w:val="9"/>
    <w:qFormat/>
    <w:rsid w:val="001A067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A7B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A7B49"/>
    <w:rPr>
      <w:sz w:val="18"/>
      <w:szCs w:val="18"/>
    </w:rPr>
  </w:style>
  <w:style w:type="paragraph" w:styleId="a4">
    <w:name w:val="footer"/>
    <w:basedOn w:val="a"/>
    <w:link w:val="Char0"/>
    <w:uiPriority w:val="99"/>
    <w:unhideWhenUsed/>
    <w:rsid w:val="006A7B49"/>
    <w:pPr>
      <w:tabs>
        <w:tab w:val="center" w:pos="4153"/>
        <w:tab w:val="right" w:pos="8306"/>
      </w:tabs>
      <w:snapToGrid w:val="0"/>
      <w:jc w:val="left"/>
    </w:pPr>
    <w:rPr>
      <w:sz w:val="18"/>
      <w:szCs w:val="18"/>
    </w:rPr>
  </w:style>
  <w:style w:type="character" w:customStyle="1" w:styleId="Char0">
    <w:name w:val="页脚 Char"/>
    <w:basedOn w:val="a0"/>
    <w:link w:val="a4"/>
    <w:uiPriority w:val="99"/>
    <w:rsid w:val="006A7B49"/>
    <w:rPr>
      <w:sz w:val="18"/>
      <w:szCs w:val="18"/>
    </w:rPr>
  </w:style>
  <w:style w:type="paragraph" w:customStyle="1" w:styleId="10">
    <w:name w:val="列出段落1"/>
    <w:basedOn w:val="a"/>
    <w:uiPriority w:val="34"/>
    <w:qFormat/>
    <w:rsid w:val="000C2F59"/>
    <w:pPr>
      <w:ind w:firstLineChars="200" w:firstLine="420"/>
    </w:pPr>
    <w:rPr>
      <w:rFonts w:ascii="Calibri" w:eastAsia="宋体" w:hAnsi="Calibri" w:cs="Times New Roman"/>
    </w:rPr>
  </w:style>
  <w:style w:type="paragraph" w:styleId="a5">
    <w:name w:val="Title"/>
    <w:basedOn w:val="a"/>
    <w:next w:val="a"/>
    <w:link w:val="Char1"/>
    <w:uiPriority w:val="10"/>
    <w:qFormat/>
    <w:rsid w:val="006F5885"/>
    <w:pPr>
      <w:spacing w:before="240" w:after="60"/>
      <w:jc w:val="center"/>
      <w:outlineLvl w:val="0"/>
    </w:pPr>
    <w:rPr>
      <w:rFonts w:asciiTheme="majorHAnsi" w:eastAsia="宋体" w:hAnsiTheme="majorHAnsi" w:cstheme="majorBidi"/>
      <w:b/>
      <w:bCs/>
      <w:sz w:val="32"/>
      <w:szCs w:val="32"/>
    </w:rPr>
  </w:style>
  <w:style w:type="character" w:customStyle="1" w:styleId="Char1">
    <w:name w:val="标题 Char"/>
    <w:basedOn w:val="a0"/>
    <w:link w:val="a5"/>
    <w:uiPriority w:val="10"/>
    <w:rsid w:val="006F5885"/>
    <w:rPr>
      <w:rFonts w:asciiTheme="majorHAnsi" w:eastAsia="宋体" w:hAnsiTheme="majorHAnsi" w:cstheme="majorBidi"/>
      <w:b/>
      <w:bCs/>
      <w:sz w:val="32"/>
      <w:szCs w:val="32"/>
    </w:rPr>
  </w:style>
  <w:style w:type="paragraph" w:styleId="a6">
    <w:name w:val="Normal (Web)"/>
    <w:basedOn w:val="a"/>
    <w:uiPriority w:val="99"/>
    <w:unhideWhenUsed/>
    <w:rsid w:val="009C20FC"/>
    <w:pPr>
      <w:widowControl/>
      <w:spacing w:before="100" w:beforeAutospacing="1" w:after="100" w:afterAutospacing="1"/>
      <w:jc w:val="left"/>
    </w:pPr>
    <w:rPr>
      <w:rFonts w:ascii="宋体" w:eastAsia="宋体" w:hAnsi="宋体" w:cs="宋体"/>
      <w:kern w:val="0"/>
      <w:sz w:val="24"/>
      <w:szCs w:val="24"/>
    </w:rPr>
  </w:style>
  <w:style w:type="table" w:styleId="a7">
    <w:name w:val="Table Grid"/>
    <w:basedOn w:val="a1"/>
    <w:uiPriority w:val="59"/>
    <w:rsid w:val="008D30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rspreappend">
    <w:name w:val="trs_preappend"/>
    <w:basedOn w:val="a"/>
    <w:uiPriority w:val="99"/>
    <w:rsid w:val="00BB75B0"/>
    <w:pPr>
      <w:widowControl/>
      <w:spacing w:before="100" w:beforeAutospacing="1" w:after="100" w:afterAutospacing="1"/>
      <w:jc w:val="left"/>
    </w:pPr>
    <w:rPr>
      <w:rFonts w:ascii="宋体" w:eastAsia="宋体" w:hAnsi="宋体" w:cs="宋体"/>
      <w:kern w:val="0"/>
      <w:sz w:val="24"/>
      <w:szCs w:val="24"/>
    </w:rPr>
  </w:style>
  <w:style w:type="paragraph" w:styleId="a8">
    <w:name w:val="Balloon Text"/>
    <w:basedOn w:val="a"/>
    <w:link w:val="Char2"/>
    <w:uiPriority w:val="99"/>
    <w:semiHidden/>
    <w:unhideWhenUsed/>
    <w:rsid w:val="000E4045"/>
    <w:rPr>
      <w:sz w:val="18"/>
      <w:szCs w:val="18"/>
    </w:rPr>
  </w:style>
  <w:style w:type="character" w:customStyle="1" w:styleId="Char2">
    <w:name w:val="批注框文本 Char"/>
    <w:basedOn w:val="a0"/>
    <w:link w:val="a8"/>
    <w:uiPriority w:val="99"/>
    <w:semiHidden/>
    <w:rsid w:val="000E4045"/>
    <w:rPr>
      <w:sz w:val="18"/>
      <w:szCs w:val="18"/>
    </w:rPr>
  </w:style>
  <w:style w:type="character" w:customStyle="1" w:styleId="1Char">
    <w:name w:val="标题 1 Char"/>
    <w:basedOn w:val="a0"/>
    <w:link w:val="1"/>
    <w:uiPriority w:val="9"/>
    <w:rsid w:val="001A0677"/>
    <w:rPr>
      <w:rFonts w:ascii="宋体" w:eastAsia="宋体" w:hAnsi="宋体" w:cs="宋体"/>
      <w:b/>
      <w:bCs/>
      <w:kern w:val="36"/>
      <w:sz w:val="48"/>
      <w:szCs w:val="48"/>
    </w:rPr>
  </w:style>
  <w:style w:type="character" w:styleId="a9">
    <w:name w:val="Strong"/>
    <w:basedOn w:val="a0"/>
    <w:uiPriority w:val="22"/>
    <w:qFormat/>
    <w:rsid w:val="0059077D"/>
    <w:rPr>
      <w:b/>
      <w:bCs/>
    </w:rPr>
  </w:style>
  <w:style w:type="paragraph" w:styleId="aa">
    <w:name w:val="Date"/>
    <w:basedOn w:val="a"/>
    <w:next w:val="a"/>
    <w:link w:val="Char3"/>
    <w:uiPriority w:val="99"/>
    <w:semiHidden/>
    <w:unhideWhenUsed/>
    <w:rsid w:val="007246FF"/>
    <w:pPr>
      <w:ind w:leftChars="2500" w:left="100"/>
    </w:pPr>
  </w:style>
  <w:style w:type="character" w:customStyle="1" w:styleId="Char3">
    <w:name w:val="日期 Char"/>
    <w:basedOn w:val="a0"/>
    <w:link w:val="aa"/>
    <w:uiPriority w:val="99"/>
    <w:semiHidden/>
    <w:rsid w:val="007246F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21649155">
      <w:bodyDiv w:val="1"/>
      <w:marLeft w:val="0"/>
      <w:marRight w:val="0"/>
      <w:marTop w:val="0"/>
      <w:marBottom w:val="0"/>
      <w:divBdr>
        <w:top w:val="none" w:sz="0" w:space="0" w:color="auto"/>
        <w:left w:val="none" w:sz="0" w:space="0" w:color="auto"/>
        <w:bottom w:val="none" w:sz="0" w:space="0" w:color="auto"/>
        <w:right w:val="none" w:sz="0" w:space="0" w:color="auto"/>
      </w:divBdr>
      <w:divsChild>
        <w:div w:id="1807116118">
          <w:marLeft w:val="0"/>
          <w:marRight w:val="0"/>
          <w:marTop w:val="0"/>
          <w:marBottom w:val="0"/>
          <w:divBdr>
            <w:top w:val="none" w:sz="0" w:space="0" w:color="auto"/>
            <w:left w:val="none" w:sz="0" w:space="0" w:color="auto"/>
            <w:bottom w:val="none" w:sz="0" w:space="0" w:color="auto"/>
            <w:right w:val="none" w:sz="0" w:space="0" w:color="auto"/>
          </w:divBdr>
          <w:divsChild>
            <w:div w:id="1942957128">
              <w:marLeft w:val="0"/>
              <w:marRight w:val="0"/>
              <w:marTop w:val="0"/>
              <w:marBottom w:val="0"/>
              <w:divBdr>
                <w:top w:val="none" w:sz="0" w:space="0" w:color="auto"/>
                <w:left w:val="none" w:sz="0" w:space="0" w:color="auto"/>
                <w:bottom w:val="none" w:sz="0" w:space="0" w:color="auto"/>
                <w:right w:val="none" w:sz="0" w:space="0" w:color="auto"/>
              </w:divBdr>
              <w:divsChild>
                <w:div w:id="47402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537454">
      <w:bodyDiv w:val="1"/>
      <w:marLeft w:val="0"/>
      <w:marRight w:val="0"/>
      <w:marTop w:val="0"/>
      <w:marBottom w:val="0"/>
      <w:divBdr>
        <w:top w:val="none" w:sz="0" w:space="0" w:color="auto"/>
        <w:left w:val="none" w:sz="0" w:space="0" w:color="auto"/>
        <w:bottom w:val="none" w:sz="0" w:space="0" w:color="auto"/>
        <w:right w:val="none" w:sz="0" w:space="0" w:color="auto"/>
      </w:divBdr>
    </w:div>
    <w:div w:id="1126392180">
      <w:bodyDiv w:val="1"/>
      <w:marLeft w:val="0"/>
      <w:marRight w:val="0"/>
      <w:marTop w:val="0"/>
      <w:marBottom w:val="0"/>
      <w:divBdr>
        <w:top w:val="none" w:sz="0" w:space="0" w:color="auto"/>
        <w:left w:val="none" w:sz="0" w:space="0" w:color="auto"/>
        <w:bottom w:val="none" w:sz="0" w:space="0" w:color="auto"/>
        <w:right w:val="none" w:sz="0" w:space="0" w:color="auto"/>
      </w:divBdr>
    </w:div>
    <w:div w:id="1626037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9BF819-E434-4EB1-8077-68C31BC9B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494</Words>
  <Characters>2820</Characters>
  <Application>Microsoft Office Word</Application>
  <DocSecurity>0</DocSecurity>
  <Lines>23</Lines>
  <Paragraphs>6</Paragraphs>
  <ScaleCrop>false</ScaleCrop>
  <Company>Lenovo</Company>
  <LinksUpToDate>false</LinksUpToDate>
  <CharactersWithSpaces>3308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fzk</dc:creator>
  <cp:lastModifiedBy>NTKO</cp:lastModifiedBy>
  <cp:revision>2</cp:revision>
  <cp:lastPrinted>2020-04-13T02:19:00Z</cp:lastPrinted>
  <dcterms:created xsi:type="dcterms:W3CDTF">2020-04-15T06:33:00Z</dcterms:created>
  <dcterms:modified xsi:type="dcterms:W3CDTF">2020-04-15T06:33:00Z</dcterms:modified>
</cp:coreProperties>
</file>