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79" w:lineRule="exact"/>
        <w:rPr>
          <w:rFonts w:ascii="黑体" w:hAnsi="黑体" w:eastAsia="黑体"/>
          <w:sz w:val="32"/>
          <w:szCs w:val="32"/>
        </w:rPr>
      </w:pPr>
      <w:bookmarkStart w:id="0" w:name="_GoBack"/>
      <w:bookmarkEnd w:id="0"/>
      <w:r>
        <w:rPr>
          <w:rFonts w:hint="eastAsia" w:ascii="黑体" w:hAnsi="黑体" w:eastAsia="黑体"/>
          <w:sz w:val="32"/>
          <w:szCs w:val="32"/>
        </w:rPr>
        <w:t>附件</w:t>
      </w:r>
    </w:p>
    <w:p>
      <w:pPr>
        <w:pStyle w:val="2"/>
        <w:spacing w:line="579" w:lineRule="exact"/>
        <w:rPr>
          <w:lang w:val="en-US" w:bidi="ar-SA"/>
        </w:rPr>
      </w:pPr>
    </w:p>
    <w:p>
      <w:pPr>
        <w:spacing w:line="579" w:lineRule="exact"/>
        <w:jc w:val="center"/>
        <w:rPr>
          <w:rFonts w:ascii="方正小标宋简体" w:hAnsi="Times New Roman" w:eastAsia="方正小标宋简体" w:cs="Times New Roman"/>
          <w:sz w:val="44"/>
          <w:szCs w:val="44"/>
        </w:rPr>
      </w:pPr>
      <w:r>
        <w:rPr>
          <w:rFonts w:hint="eastAsia" w:ascii="方正小标宋简体" w:hAnsi="Times New Roman" w:eastAsia="方正小标宋简体" w:cs="Times New Roman"/>
          <w:sz w:val="44"/>
          <w:szCs w:val="44"/>
        </w:rPr>
        <w:t>2023年江苏省法治惠民实事项目</w:t>
      </w:r>
    </w:p>
    <w:p>
      <w:pPr>
        <w:spacing w:line="579" w:lineRule="exact"/>
        <w:jc w:val="center"/>
        <w:rPr>
          <w:rFonts w:ascii="Times New Roman" w:hAnsi="Times New Roman" w:eastAsia="楷体_GB2312"/>
          <w:sz w:val="32"/>
          <w:szCs w:val="32"/>
        </w:rPr>
      </w:pPr>
      <w:r>
        <w:rPr>
          <w:rFonts w:ascii="Times New Roman" w:hAnsi="Times New Roman" w:eastAsia="楷体_GB2312"/>
          <w:sz w:val="32"/>
          <w:szCs w:val="32"/>
        </w:rPr>
        <w:t>（拟</w:t>
      </w:r>
      <w:r>
        <w:rPr>
          <w:rFonts w:hint="eastAsia" w:ascii="Times New Roman" w:hAnsi="Times New Roman" w:eastAsia="楷体_GB2312"/>
          <w:sz w:val="32"/>
          <w:szCs w:val="32"/>
        </w:rPr>
        <w:t>确定</w:t>
      </w:r>
      <w:r>
        <w:rPr>
          <w:rFonts w:ascii="Times New Roman" w:hAnsi="Times New Roman" w:eastAsia="楷体_GB2312"/>
          <w:sz w:val="32"/>
          <w:szCs w:val="32"/>
        </w:rPr>
        <w:t>名单）</w:t>
      </w:r>
    </w:p>
    <w:p>
      <w:pPr>
        <w:widowControl/>
        <w:spacing w:line="579" w:lineRule="exact"/>
        <w:rPr>
          <w:rFonts w:ascii="Times New Roman" w:hAnsi="Times New Roman" w:eastAsia="黑体" w:cs="Times New Roman"/>
          <w:sz w:val="32"/>
          <w:szCs w:val="32"/>
        </w:rPr>
      </w:pPr>
    </w:p>
    <w:p>
      <w:pPr>
        <w:widowControl/>
        <w:spacing w:line="579" w:lineRule="exact"/>
        <w:ind w:firstLine="640" w:firstLineChars="200"/>
        <w:rPr>
          <w:rFonts w:ascii="Times New Roman" w:hAnsi="Times New Roman" w:eastAsia="楷体_GB2312" w:cs="Times New Roman"/>
          <w:sz w:val="32"/>
          <w:szCs w:val="32"/>
        </w:rPr>
      </w:pPr>
      <w:r>
        <w:rPr>
          <w:rFonts w:hint="eastAsia" w:ascii="Times New Roman" w:hAnsi="Times New Roman" w:eastAsia="黑体" w:cs="Times New Roman"/>
          <w:sz w:val="32"/>
          <w:szCs w:val="32"/>
        </w:rPr>
        <w:t>一</w:t>
      </w:r>
      <w:r>
        <w:rPr>
          <w:rFonts w:ascii="Times New Roman" w:hAnsi="Times New Roman" w:eastAsia="黑体" w:cs="Times New Roman"/>
          <w:sz w:val="32"/>
          <w:szCs w:val="32"/>
        </w:rPr>
        <w:t>、制定《江苏省食品安全条例》。</w:t>
      </w:r>
      <w:r>
        <w:rPr>
          <w:rFonts w:ascii="Times New Roman" w:hAnsi="Times New Roman" w:eastAsia="仿宋_GB2312" w:cs="Times New Roman"/>
          <w:snapToGrid w:val="0"/>
          <w:kern w:val="0"/>
          <w:sz w:val="32"/>
          <w:szCs w:val="32"/>
        </w:rPr>
        <w:t>健全完善食品安全地方法规制度，为公众饮食安全健康提供坚实的法治保障，落实推进健康中国建设和实施食品安全战略整体要求，总结提炼全省各地成功做法和经验，着力解决食品安全领域存在的突出问题，促进食品安全标准、风险监测评估与食品营养工作的改革创新，推动建立食品安全领域现代化治理体系。</w:t>
      </w:r>
      <w:r>
        <w:rPr>
          <w:rFonts w:ascii="Times New Roman" w:hAnsi="Times New Roman" w:eastAsia="楷体_GB2312" w:cs="Times New Roman"/>
          <w:sz w:val="32"/>
          <w:szCs w:val="32"/>
        </w:rPr>
        <w:t>（责任单位：省人大法制委、常委会法工委）</w:t>
      </w:r>
    </w:p>
    <w:p>
      <w:pPr>
        <w:widowControl/>
        <w:spacing w:line="579" w:lineRule="exact"/>
        <w:ind w:firstLine="640" w:firstLineChars="200"/>
        <w:rPr>
          <w:rFonts w:ascii="Times New Roman" w:hAnsi="Times New Roman" w:eastAsia="楷体_GB2312" w:cs="Times New Roman"/>
          <w:sz w:val="32"/>
          <w:szCs w:val="32"/>
        </w:rPr>
      </w:pPr>
      <w:r>
        <w:rPr>
          <w:rFonts w:hint="eastAsia" w:ascii="Times New Roman" w:hAnsi="Times New Roman" w:eastAsia="黑体" w:cs="Times New Roman"/>
          <w:sz w:val="32"/>
          <w:szCs w:val="32"/>
        </w:rPr>
        <w:t>二</w:t>
      </w:r>
      <w:r>
        <w:rPr>
          <w:rFonts w:ascii="Times New Roman" w:hAnsi="Times New Roman" w:eastAsia="黑体" w:cs="Times New Roman"/>
          <w:sz w:val="32"/>
          <w:szCs w:val="32"/>
        </w:rPr>
        <w:t>、开展商会商事调解培育培优行动。</w:t>
      </w:r>
      <w:r>
        <w:rPr>
          <w:rFonts w:ascii="Times New Roman" w:hAnsi="Times New Roman" w:eastAsia="仿宋_GB2312" w:cs="Times New Roman"/>
          <w:snapToGrid w:val="0"/>
          <w:kern w:val="0"/>
          <w:sz w:val="32"/>
          <w:szCs w:val="32"/>
        </w:rPr>
        <w:t>加快培育商会调解组织，扩大商会调解组织覆盖面，为民营企业提供更多更便捷的解纷渠道；全面提升商会商事调解能力水平，为化解民营企业纠纷提供更多高质量、高效率的解纷服务；依托商会开展司法助企活动，通过商会加强普法宣传，帮助企业防范化解风险、提升治理水平。</w:t>
      </w:r>
      <w:r>
        <w:rPr>
          <w:rFonts w:ascii="Times New Roman" w:hAnsi="Times New Roman" w:eastAsia="楷体_GB2312" w:cs="Times New Roman"/>
          <w:sz w:val="32"/>
          <w:szCs w:val="32"/>
        </w:rPr>
        <w:t>（责任单位：省法院）</w:t>
      </w:r>
    </w:p>
    <w:p>
      <w:pPr>
        <w:widowControl/>
        <w:spacing w:line="579" w:lineRule="exact"/>
        <w:ind w:firstLine="640" w:firstLineChars="200"/>
        <w:rPr>
          <w:rFonts w:ascii="Times New Roman" w:hAnsi="Times New Roman" w:eastAsia="楷体_GB2312" w:cs="Times New Roman"/>
          <w:sz w:val="32"/>
          <w:szCs w:val="32"/>
        </w:rPr>
      </w:pPr>
      <w:r>
        <w:rPr>
          <w:rFonts w:hint="eastAsia" w:ascii="Times New Roman" w:hAnsi="Times New Roman" w:eastAsia="黑体" w:cs="Times New Roman"/>
          <w:sz w:val="32"/>
          <w:szCs w:val="32"/>
        </w:rPr>
        <w:t>三</w:t>
      </w:r>
      <w:r>
        <w:rPr>
          <w:rFonts w:ascii="Times New Roman" w:hAnsi="Times New Roman" w:eastAsia="黑体" w:cs="Times New Roman"/>
          <w:sz w:val="32"/>
          <w:szCs w:val="32"/>
        </w:rPr>
        <w:t>、组织实施“检爱同行”未成年人法治教育系列活动。</w:t>
      </w:r>
      <w:r>
        <w:rPr>
          <w:rFonts w:ascii="Times New Roman" w:hAnsi="Times New Roman" w:eastAsia="仿宋_GB2312" w:cs="Times New Roman"/>
          <w:snapToGrid w:val="0"/>
          <w:kern w:val="0"/>
          <w:sz w:val="32"/>
          <w:szCs w:val="32"/>
        </w:rPr>
        <w:t>检察案例融教材进教案，组织未检业务骨干结合针对中小学校政治课教材，编写案例，供教师授课使用，充分发挥学校预防未成年人违法犯罪的关键作用。“检爱同行”全省检察机关法治巡讲，针对中小学生、家长、教师、驻村儿童主任等不同对象研发示范课程，走进乡村、职业技术学校等未成年人犯罪率较高的领域开展法治教育，加强重点领域法治教育，提升重点对象的法治意识和水平。</w:t>
      </w:r>
      <w:r>
        <w:rPr>
          <w:rFonts w:ascii="Times New Roman" w:hAnsi="Times New Roman" w:eastAsia="楷体_GB2312" w:cs="Times New Roman"/>
          <w:sz w:val="32"/>
          <w:szCs w:val="32"/>
        </w:rPr>
        <w:t>（责任单位：省检察院）</w:t>
      </w:r>
    </w:p>
    <w:p>
      <w:pPr>
        <w:widowControl/>
        <w:spacing w:line="579" w:lineRule="exact"/>
        <w:ind w:firstLine="640" w:firstLineChars="200"/>
        <w:rPr>
          <w:rFonts w:ascii="Times New Roman" w:hAnsi="Times New Roman" w:eastAsia="楷体_GB2312" w:cs="Times New Roman"/>
          <w:sz w:val="32"/>
          <w:szCs w:val="32"/>
        </w:rPr>
      </w:pPr>
      <w:r>
        <w:rPr>
          <w:rFonts w:hint="eastAsia" w:ascii="Times New Roman" w:hAnsi="Times New Roman" w:eastAsia="黑体" w:cs="Times New Roman"/>
          <w:sz w:val="32"/>
          <w:szCs w:val="32"/>
        </w:rPr>
        <w:t>四</w:t>
      </w:r>
      <w:r>
        <w:rPr>
          <w:rFonts w:ascii="Times New Roman" w:hAnsi="Times New Roman" w:eastAsia="黑体" w:cs="Times New Roman"/>
          <w:sz w:val="32"/>
          <w:szCs w:val="32"/>
        </w:rPr>
        <w:t>、全省公安经侦部门涉企挂案专项清理行动。</w:t>
      </w:r>
      <w:r>
        <w:rPr>
          <w:rFonts w:ascii="Times New Roman" w:hAnsi="Times New Roman" w:eastAsia="仿宋_GB2312" w:cs="Times New Roman"/>
          <w:snapToGrid w:val="0"/>
          <w:kern w:val="0"/>
          <w:sz w:val="32"/>
          <w:szCs w:val="32"/>
        </w:rPr>
        <w:t>紧紧围绕对涉企挂案“减存量、控增量、防变量”的总体目标，充分发挥公安经侦部门职能作用，把涉企挂案清理工作作为服务社会经济高质量发展的重要抓手，进一步集中攻坚克难，推动涉企挂案专项清理工作向纵深发展，坚决防止新生挂案，切实解决历史挂案，全面维护企业合法权益，为创造良好的营商环境作出应有的贡献。</w:t>
      </w:r>
      <w:r>
        <w:rPr>
          <w:rFonts w:ascii="Times New Roman" w:hAnsi="Times New Roman" w:eastAsia="楷体_GB2312" w:cs="Times New Roman"/>
          <w:sz w:val="32"/>
          <w:szCs w:val="32"/>
        </w:rPr>
        <w:t>（责任单位：省公安厅）</w:t>
      </w:r>
    </w:p>
    <w:p>
      <w:pPr>
        <w:widowControl/>
        <w:spacing w:line="579" w:lineRule="exact"/>
        <w:ind w:firstLine="640" w:firstLineChars="200"/>
        <w:rPr>
          <w:rFonts w:ascii="Times New Roman" w:hAnsi="Times New Roman" w:eastAsia="楷体_GB2312" w:cs="Times New Roman"/>
          <w:sz w:val="32"/>
          <w:szCs w:val="32"/>
        </w:rPr>
      </w:pPr>
      <w:r>
        <w:rPr>
          <w:rFonts w:hint="eastAsia" w:ascii="Times New Roman" w:hAnsi="Times New Roman" w:eastAsia="黑体" w:cs="Times New Roman"/>
          <w:sz w:val="32"/>
          <w:szCs w:val="32"/>
        </w:rPr>
        <w:t>五</w:t>
      </w:r>
      <w:r>
        <w:rPr>
          <w:rFonts w:ascii="Times New Roman" w:hAnsi="Times New Roman" w:eastAsia="黑体" w:cs="Times New Roman"/>
          <w:sz w:val="32"/>
          <w:szCs w:val="32"/>
        </w:rPr>
        <w:t>、在400个乡镇街道推行远程公证服务。</w:t>
      </w:r>
      <w:r>
        <w:rPr>
          <w:rFonts w:ascii="Times New Roman" w:hAnsi="Times New Roman" w:eastAsia="仿宋_GB2312" w:cs="Times New Roman"/>
          <w:snapToGrid w:val="0"/>
          <w:kern w:val="0"/>
          <w:sz w:val="32"/>
          <w:szCs w:val="32"/>
        </w:rPr>
        <w:t>在400个乡镇和距离主城区较远的街道公共法律服务中心推行远程公证服务，乡镇街道远程公证服务点覆盖率达到30%，助力乡村振兴，满足企业群众就近办理公证法律服务需求。通过在乡镇街道公共法律服务中心进行硬件配备或集成，设置办证环境，由公共法律服务中心公证辅助人员协助当事人以视频方式向对接公证机构提出申请，在线办理声明、委托、小额继承等17项高频公证事项。</w:t>
      </w:r>
      <w:r>
        <w:rPr>
          <w:rFonts w:ascii="Times New Roman" w:hAnsi="Times New Roman" w:eastAsia="楷体_GB2312" w:cs="Times New Roman"/>
          <w:sz w:val="32"/>
          <w:szCs w:val="32"/>
        </w:rPr>
        <w:t>（责任单位：省司法厅）</w:t>
      </w:r>
    </w:p>
    <w:p>
      <w:pPr>
        <w:widowControl/>
        <w:spacing w:line="579" w:lineRule="exact"/>
        <w:ind w:firstLine="640" w:firstLineChars="200"/>
        <w:rPr>
          <w:rFonts w:ascii="Times New Roman" w:hAnsi="Times New Roman" w:eastAsia="楷体_GB2312" w:cs="Times New Roman"/>
          <w:sz w:val="32"/>
          <w:szCs w:val="32"/>
        </w:rPr>
      </w:pPr>
      <w:r>
        <w:rPr>
          <w:rFonts w:hint="eastAsia" w:ascii="Times New Roman" w:hAnsi="Times New Roman" w:eastAsia="黑体" w:cs="Times New Roman"/>
          <w:sz w:val="32"/>
          <w:szCs w:val="32"/>
        </w:rPr>
        <w:t>六</w:t>
      </w:r>
      <w:r>
        <w:rPr>
          <w:rFonts w:ascii="Times New Roman" w:hAnsi="Times New Roman" w:eastAsia="黑体" w:cs="Times New Roman"/>
          <w:sz w:val="32"/>
          <w:szCs w:val="32"/>
        </w:rPr>
        <w:t>、</w:t>
      </w:r>
      <w:r>
        <w:rPr>
          <w:rFonts w:hint="eastAsia" w:ascii="Times New Roman" w:hAnsi="Times New Roman" w:eastAsia="黑体" w:cs="Times New Roman"/>
          <w:sz w:val="32"/>
          <w:szCs w:val="32"/>
        </w:rPr>
        <w:t>江苏省财政电子票据管理改革</w:t>
      </w:r>
      <w:r>
        <w:rPr>
          <w:rFonts w:ascii="Times New Roman" w:hAnsi="Times New Roman" w:eastAsia="黑体" w:cs="Times New Roman"/>
          <w:sz w:val="32"/>
          <w:szCs w:val="32"/>
        </w:rPr>
        <w:t>。</w:t>
      </w:r>
      <w:r>
        <w:rPr>
          <w:rFonts w:hint="eastAsia" w:ascii="Times New Roman" w:hAnsi="Times New Roman" w:eastAsia="仿宋_GB2312" w:cs="Times New Roman"/>
          <w:snapToGrid w:val="0"/>
          <w:kern w:val="0"/>
          <w:sz w:val="32"/>
          <w:szCs w:val="32"/>
        </w:rPr>
        <w:t>实现财政电子票据票种全覆盖，坚持民生优先，以满足缴费方式多样化、便民服务高效化为导向，依托电子票据平台实现业务单位全覆盖、电子票种全覆盖、业务流程全覆盖，稳步将财政电子票据改革红利辐射到全省全领域。深化长三角地区政务服务“一网通办”改革，坚持以企业和群众需求为导向，以跨区域业务协同为引领，以跨区域公共数据共享为基础，促进数据要素在流动和应用中发挥价值，建立长三角财政电子票据共享机制，推动区域政务服务和公共服务“一体化”发展，让区域企业和群众享受更多“同城服务”</w:t>
      </w:r>
      <w:r>
        <w:rPr>
          <w:rFonts w:ascii="Times New Roman" w:hAnsi="Times New Roman" w:eastAsia="仿宋_GB2312" w:cs="Times New Roman"/>
          <w:snapToGrid w:val="0"/>
          <w:kern w:val="0"/>
          <w:sz w:val="32"/>
          <w:szCs w:val="32"/>
        </w:rPr>
        <w:t>。</w:t>
      </w:r>
      <w:r>
        <w:rPr>
          <w:rFonts w:ascii="Times New Roman" w:hAnsi="Times New Roman" w:eastAsia="楷体_GB2312" w:cs="Times New Roman"/>
          <w:sz w:val="32"/>
          <w:szCs w:val="32"/>
        </w:rPr>
        <w:t>（责任单位：省</w:t>
      </w:r>
      <w:r>
        <w:rPr>
          <w:rFonts w:hint="eastAsia" w:ascii="Times New Roman" w:hAnsi="Times New Roman" w:eastAsia="楷体_GB2312" w:cs="Times New Roman"/>
          <w:sz w:val="32"/>
          <w:szCs w:val="32"/>
        </w:rPr>
        <w:t>财政</w:t>
      </w:r>
      <w:r>
        <w:rPr>
          <w:rFonts w:ascii="Times New Roman" w:hAnsi="Times New Roman" w:eastAsia="楷体_GB2312" w:cs="Times New Roman"/>
          <w:sz w:val="32"/>
          <w:szCs w:val="32"/>
        </w:rPr>
        <w:t>厅）</w:t>
      </w:r>
    </w:p>
    <w:p>
      <w:pPr>
        <w:widowControl/>
        <w:spacing w:line="579" w:lineRule="exact"/>
        <w:ind w:firstLine="640" w:firstLineChars="200"/>
        <w:rPr>
          <w:rFonts w:ascii="Times New Roman" w:hAnsi="Times New Roman" w:eastAsia="楷体_GB2312" w:cs="Times New Roman"/>
          <w:sz w:val="32"/>
          <w:szCs w:val="32"/>
        </w:rPr>
      </w:pPr>
      <w:r>
        <w:rPr>
          <w:rFonts w:hint="eastAsia" w:ascii="Times New Roman" w:hAnsi="Times New Roman" w:eastAsia="黑体" w:cs="Times New Roman"/>
          <w:sz w:val="32"/>
          <w:szCs w:val="32"/>
        </w:rPr>
        <w:t>七、开设全省交通运输行业法律服务站（咨询台）。</w:t>
      </w:r>
      <w:r>
        <w:rPr>
          <w:rFonts w:hint="eastAsia" w:ascii="Times New Roman" w:hAnsi="Times New Roman" w:eastAsia="仿宋_GB2312" w:cs="Times New Roman"/>
          <w:snapToGrid w:val="0"/>
          <w:kern w:val="0"/>
          <w:sz w:val="32"/>
          <w:szCs w:val="32"/>
        </w:rPr>
        <w:t>统筹交通运输系统法律服务力量，选取覆盖交通运输重点领域的站点，统一设立标准和服务要求，建设全省交通运输行业法律服务站（咨询台），向社会提供高品质便捷化法律服务。主要包括全业务法律咨询、精准化法律援助、数字化便捷服务和针对性普法宣传等4项内容。</w:t>
      </w:r>
      <w:r>
        <w:rPr>
          <w:rFonts w:ascii="Times New Roman" w:hAnsi="Times New Roman" w:eastAsia="楷体_GB2312" w:cs="Times New Roman"/>
          <w:sz w:val="32"/>
          <w:szCs w:val="32"/>
        </w:rPr>
        <w:t>（责任单位：省交通运输厅）</w:t>
      </w:r>
    </w:p>
    <w:p>
      <w:pPr>
        <w:spacing w:line="579" w:lineRule="exact"/>
        <w:ind w:firstLine="640" w:firstLineChars="200"/>
        <w:rPr>
          <w:rFonts w:ascii="Times New Roman" w:hAnsi="Times New Roman" w:eastAsia="楷体_GB2312" w:cs="Times New Roman"/>
          <w:sz w:val="32"/>
          <w:szCs w:val="32"/>
        </w:rPr>
      </w:pPr>
      <w:r>
        <w:rPr>
          <w:rFonts w:hint="eastAsia" w:ascii="Times New Roman" w:hAnsi="Times New Roman" w:eastAsia="黑体" w:cs="Times New Roman"/>
          <w:sz w:val="32"/>
          <w:szCs w:val="32"/>
        </w:rPr>
        <w:t>八</w:t>
      </w:r>
      <w:r>
        <w:rPr>
          <w:rFonts w:ascii="Times New Roman" w:hAnsi="Times New Roman" w:eastAsia="黑体" w:cs="Times New Roman"/>
          <w:sz w:val="32"/>
          <w:szCs w:val="32"/>
        </w:rPr>
        <w:t>、农村土地承包经营纠纷调解仲裁。</w:t>
      </w:r>
      <w:r>
        <w:rPr>
          <w:rFonts w:ascii="Times New Roman" w:hAnsi="Times New Roman" w:eastAsia="仿宋_GB2312" w:cs="Times New Roman"/>
          <w:snapToGrid w:val="0"/>
          <w:kern w:val="0"/>
          <w:sz w:val="32"/>
          <w:szCs w:val="32"/>
        </w:rPr>
        <w:t>加强与法院、司法等相关部门的衔接，探索跨区域设置仲裁机构，开展仲裁庭审线上直播等，创新调解仲裁工作机制。开展全省农村土地承包经营纠纷调解仲裁宣传教育活动，促进干部群众深化对调解仲裁工作的认识，引导农民通过调解仲裁方式解决土地承包经营矛盾纠纷。建立健全乡村调解、县级仲裁、司法保障的农村土地承包经营纠纷调解仲裁体系，为群众提供分层次、多途径、高效率的纠纷途径。组织开展农村土地承包经营纠纷调解仲裁年度考评，对各地机构建设情况、工作开展情况、仲裁卷宗评查，提高调解仲裁工作质量，提升调解仲裁工作在农民群众中的威信和社会影响力。</w:t>
      </w:r>
      <w:r>
        <w:rPr>
          <w:rFonts w:ascii="Times New Roman" w:hAnsi="Times New Roman" w:eastAsia="楷体_GB2312" w:cs="Times New Roman"/>
          <w:sz w:val="32"/>
          <w:szCs w:val="32"/>
        </w:rPr>
        <w:t>（责任单位：省农业农村厅）</w:t>
      </w:r>
    </w:p>
    <w:p>
      <w:pPr>
        <w:widowControl/>
        <w:spacing w:line="579" w:lineRule="exact"/>
        <w:ind w:firstLine="640" w:firstLineChars="200"/>
        <w:rPr>
          <w:rFonts w:ascii="Times New Roman" w:hAnsi="Times New Roman" w:eastAsia="楷体_GB2312" w:cs="Times New Roman"/>
          <w:sz w:val="32"/>
          <w:szCs w:val="32"/>
        </w:rPr>
      </w:pPr>
      <w:r>
        <w:rPr>
          <w:rFonts w:hint="eastAsia" w:ascii="Times New Roman" w:hAnsi="Times New Roman" w:eastAsia="黑体" w:cs="Times New Roman"/>
          <w:sz w:val="32"/>
          <w:szCs w:val="32"/>
        </w:rPr>
        <w:t>九</w:t>
      </w:r>
      <w:r>
        <w:rPr>
          <w:rFonts w:ascii="Times New Roman" w:hAnsi="Times New Roman" w:eastAsia="黑体" w:cs="Times New Roman"/>
          <w:sz w:val="32"/>
          <w:szCs w:val="32"/>
        </w:rPr>
        <w:t>、江苏省文化市场法治惠民系列活动。</w:t>
      </w:r>
      <w:r>
        <w:rPr>
          <w:rFonts w:ascii="Times New Roman" w:hAnsi="Times New Roman" w:eastAsia="仿宋_GB2312" w:cs="Times New Roman"/>
          <w:snapToGrid w:val="0"/>
          <w:kern w:val="0"/>
          <w:sz w:val="32"/>
          <w:szCs w:val="32"/>
        </w:rPr>
        <w:t>通过形式多样的执法服务和普法宣传，降低经营者违法风险，提高消费者防范意识，营造良好法治氛围。主要包括“我为群众办实事”实践活动、推进未成年人保护和养老诈骗整治、推出轻微违法行为免罚轻罚清单和文化市场综合执法微视频展播等4项内容。</w:t>
      </w:r>
      <w:r>
        <w:rPr>
          <w:rFonts w:ascii="Times New Roman" w:hAnsi="Times New Roman" w:eastAsia="楷体_GB2312" w:cs="Times New Roman"/>
          <w:sz w:val="32"/>
          <w:szCs w:val="32"/>
        </w:rPr>
        <w:t>（责任单位：省文化和旅游厅）</w:t>
      </w:r>
    </w:p>
    <w:p>
      <w:pPr>
        <w:widowControl/>
        <w:spacing w:line="579" w:lineRule="exact"/>
        <w:ind w:firstLine="640" w:firstLineChars="200"/>
        <w:rPr>
          <w:rFonts w:ascii="Times New Roman" w:hAnsi="Times New Roman" w:eastAsia="楷体_GB2312" w:cs="Times New Roman"/>
          <w:sz w:val="32"/>
          <w:szCs w:val="32"/>
        </w:rPr>
      </w:pPr>
      <w:r>
        <w:rPr>
          <w:rFonts w:hint="eastAsia" w:ascii="Times New Roman" w:hAnsi="Times New Roman" w:eastAsia="黑体" w:cs="Times New Roman"/>
          <w:sz w:val="32"/>
          <w:szCs w:val="32"/>
        </w:rPr>
        <w:t>十</w:t>
      </w:r>
      <w:r>
        <w:rPr>
          <w:rFonts w:ascii="Times New Roman" w:hAnsi="Times New Roman" w:eastAsia="黑体" w:cs="Times New Roman"/>
          <w:sz w:val="32"/>
          <w:szCs w:val="32"/>
        </w:rPr>
        <w:t>、</w:t>
      </w:r>
      <w:r>
        <w:rPr>
          <w:rFonts w:hint="eastAsia" w:ascii="Times New Roman" w:hAnsi="Times New Roman" w:eastAsia="黑体" w:cs="Times New Roman"/>
          <w:sz w:val="32"/>
          <w:szCs w:val="32"/>
        </w:rPr>
        <w:t>推动全省金融支持小微企业发展政策落实</w:t>
      </w:r>
      <w:r>
        <w:rPr>
          <w:rFonts w:ascii="Times New Roman" w:hAnsi="Times New Roman" w:eastAsia="黑体" w:cs="Times New Roman"/>
          <w:sz w:val="32"/>
          <w:szCs w:val="32"/>
        </w:rPr>
        <w:t>。</w:t>
      </w:r>
      <w:r>
        <w:rPr>
          <w:rFonts w:hint="eastAsia" w:ascii="Times New Roman" w:hAnsi="Times New Roman" w:eastAsia="仿宋_GB2312" w:cs="Times New Roman"/>
          <w:snapToGrid w:val="0"/>
          <w:kern w:val="0"/>
          <w:sz w:val="32"/>
          <w:szCs w:val="32"/>
        </w:rPr>
        <w:t>坚持执审为民理念，围绕推动金融支持小微企业减负纾困政策落实，在梳理国务院和财政部、中国人民银行等部委出台的金融支持小微企业发展政策要点，了解我省相关制度建立健全以及体制机制等情况的基础上，调查全省小微贷、苏科贷、苏农贷等政银合作产品融资规模及增长情况，利率优惠情况，担保公司支持小微企业情况，担保费率优惠政策执行情况以及省综合金融服务平台和省级企业征信服务平台银政对接及普惠金融服务支持情况，对金融支持小微企业发展政策执行情况进行综合评估，促进提升金融服务小微企业发展政策落实质效和覆盖面，推动普惠性支持措施和针对性支持措施形成合力，进一步帮助我省小微企业纾困解难，提振信心、稳定预期。</w:t>
      </w:r>
      <w:r>
        <w:rPr>
          <w:rFonts w:ascii="Times New Roman" w:hAnsi="Times New Roman" w:eastAsia="楷体_GB2312" w:cs="Times New Roman"/>
          <w:sz w:val="32"/>
          <w:szCs w:val="32"/>
        </w:rPr>
        <w:t>（责任单位：省</w:t>
      </w:r>
      <w:r>
        <w:rPr>
          <w:rFonts w:hint="eastAsia" w:ascii="Times New Roman" w:hAnsi="Times New Roman" w:eastAsia="楷体_GB2312" w:cs="Times New Roman"/>
          <w:sz w:val="32"/>
          <w:szCs w:val="32"/>
        </w:rPr>
        <w:t>审计</w:t>
      </w:r>
      <w:r>
        <w:rPr>
          <w:rFonts w:ascii="Times New Roman" w:hAnsi="Times New Roman" w:eastAsia="楷体_GB2312" w:cs="Times New Roman"/>
          <w:sz w:val="32"/>
          <w:szCs w:val="32"/>
        </w:rPr>
        <w:t>厅）</w:t>
      </w:r>
    </w:p>
    <w:p>
      <w:pPr>
        <w:spacing w:line="579" w:lineRule="exact"/>
        <w:ind w:firstLine="640" w:firstLineChars="200"/>
        <w:rPr>
          <w:rFonts w:ascii="Times New Roman" w:hAnsi="Times New Roman" w:eastAsia="楷体_GB2312" w:cs="Times New Roman"/>
          <w:sz w:val="32"/>
          <w:szCs w:val="32"/>
        </w:rPr>
      </w:pPr>
      <w:r>
        <w:rPr>
          <w:rFonts w:hint="eastAsia" w:ascii="Times New Roman" w:hAnsi="Times New Roman" w:eastAsia="黑体" w:cs="Times New Roman"/>
          <w:sz w:val="32"/>
          <w:szCs w:val="32"/>
        </w:rPr>
        <w:t>十一</w:t>
      </w:r>
      <w:r>
        <w:rPr>
          <w:rFonts w:ascii="Times New Roman" w:hAnsi="Times New Roman" w:eastAsia="黑体" w:cs="Times New Roman"/>
          <w:sz w:val="32"/>
          <w:szCs w:val="32"/>
        </w:rPr>
        <w:t>、</w:t>
      </w:r>
      <w:r>
        <w:rPr>
          <w:rFonts w:hint="eastAsia" w:ascii="Times New Roman" w:hAnsi="Times New Roman" w:eastAsia="黑体" w:cs="Times New Roman"/>
          <w:sz w:val="32"/>
          <w:szCs w:val="32"/>
        </w:rPr>
        <w:t>江苏省领事保护宣传</w:t>
      </w:r>
      <w:r>
        <w:rPr>
          <w:rFonts w:ascii="Times New Roman" w:hAnsi="Times New Roman" w:eastAsia="黑体" w:cs="Times New Roman"/>
          <w:sz w:val="32"/>
          <w:szCs w:val="32"/>
        </w:rPr>
        <w:t>。</w:t>
      </w:r>
      <w:r>
        <w:rPr>
          <w:rFonts w:hint="eastAsia" w:ascii="Times New Roman" w:hAnsi="Times New Roman" w:eastAsia="仿宋_GB2312" w:cs="Times New Roman"/>
          <w:snapToGrid w:val="0"/>
          <w:kern w:val="0"/>
          <w:sz w:val="32"/>
          <w:szCs w:val="32"/>
        </w:rPr>
        <w:t>针对留学生、出国务工人员、出境游游客和“走出去”企业等四类领事保护需求量大的重点群体，实施“江苏领事保护宣传项目”，通过举办“江苏领事保护宣传周”、开展“以案说法”普法教育、拍摄领事保护宣传系列短片等系列活动，不断拓宽宣传渠道，丰富宣传内容，让领事保护知识进企业、进学校、进社区、进乡村、进机关，提高全民海外风险预防和依法应对防范能力</w:t>
      </w:r>
      <w:r>
        <w:rPr>
          <w:rFonts w:ascii="Times New Roman" w:hAnsi="Times New Roman" w:eastAsia="仿宋_GB2312" w:cs="Times New Roman"/>
          <w:snapToGrid w:val="0"/>
          <w:kern w:val="0"/>
          <w:sz w:val="32"/>
          <w:szCs w:val="32"/>
        </w:rPr>
        <w:t>。</w:t>
      </w:r>
      <w:r>
        <w:rPr>
          <w:rFonts w:ascii="Times New Roman" w:hAnsi="Times New Roman" w:eastAsia="楷体_GB2312" w:cs="Times New Roman"/>
          <w:sz w:val="32"/>
          <w:szCs w:val="32"/>
        </w:rPr>
        <w:t>（责任单位：省</w:t>
      </w:r>
      <w:r>
        <w:rPr>
          <w:rFonts w:hint="eastAsia" w:ascii="Times New Roman" w:hAnsi="Times New Roman" w:eastAsia="楷体_GB2312" w:cs="Times New Roman"/>
          <w:sz w:val="32"/>
          <w:szCs w:val="32"/>
        </w:rPr>
        <w:t>外办</w:t>
      </w:r>
      <w:r>
        <w:rPr>
          <w:rFonts w:ascii="Times New Roman" w:hAnsi="Times New Roman" w:eastAsia="楷体_GB2312" w:cs="Times New Roman"/>
          <w:sz w:val="32"/>
          <w:szCs w:val="32"/>
        </w:rPr>
        <w:t>）</w:t>
      </w:r>
    </w:p>
    <w:p>
      <w:pPr>
        <w:spacing w:line="579" w:lineRule="exact"/>
        <w:ind w:firstLine="640" w:firstLineChars="200"/>
        <w:rPr>
          <w:rFonts w:ascii="Times New Roman" w:hAnsi="Times New Roman" w:eastAsia="楷体_GB2312" w:cs="Times New Roman"/>
          <w:sz w:val="32"/>
          <w:szCs w:val="32"/>
        </w:rPr>
      </w:pPr>
      <w:r>
        <w:rPr>
          <w:rFonts w:hint="eastAsia" w:ascii="Times New Roman" w:hAnsi="Times New Roman" w:eastAsia="黑体" w:cs="Times New Roman"/>
          <w:sz w:val="32"/>
          <w:szCs w:val="32"/>
        </w:rPr>
        <w:t>十二</w:t>
      </w:r>
      <w:r>
        <w:rPr>
          <w:rFonts w:ascii="Times New Roman" w:hAnsi="Times New Roman" w:eastAsia="黑体" w:cs="Times New Roman"/>
          <w:sz w:val="32"/>
          <w:szCs w:val="32"/>
        </w:rPr>
        <w:t>、制定江苏省市场监管涉企行政合规指导清单。</w:t>
      </w:r>
      <w:r>
        <w:rPr>
          <w:rFonts w:ascii="Times New Roman" w:hAnsi="Times New Roman" w:eastAsia="仿宋_GB2312" w:cs="Times New Roman"/>
          <w:snapToGrid w:val="0"/>
          <w:kern w:val="0"/>
          <w:sz w:val="32"/>
          <w:szCs w:val="32"/>
        </w:rPr>
        <w:t>在充分开展调研的基础上，组织精干力量制定清单，确保清单能够精准体现企业常见违法行为，能够全面回应企业依法合规经营需求，防范经营风险。清单根据市场监管不同领域分别制定，清单内容明确合规事项、常见违法行为表现、违法责任、风险等级、合规建议以及具体指导联系方式等。</w:t>
      </w:r>
      <w:r>
        <w:rPr>
          <w:rFonts w:ascii="Times New Roman" w:hAnsi="Times New Roman" w:eastAsia="楷体_GB2312" w:cs="Times New Roman"/>
          <w:sz w:val="32"/>
          <w:szCs w:val="32"/>
        </w:rPr>
        <w:t>（责任单位：省市场监管局）</w:t>
      </w:r>
    </w:p>
    <w:p>
      <w:pPr>
        <w:spacing w:line="579" w:lineRule="exact"/>
        <w:ind w:firstLine="640" w:firstLineChars="200"/>
        <w:rPr>
          <w:rFonts w:ascii="Times New Roman" w:hAnsi="Times New Roman" w:eastAsia="楷体_GB2312" w:cs="Times New Roman"/>
          <w:sz w:val="32"/>
          <w:szCs w:val="32"/>
        </w:rPr>
      </w:pPr>
      <w:r>
        <w:rPr>
          <w:rFonts w:hint="eastAsia" w:ascii="Times New Roman" w:hAnsi="Times New Roman" w:eastAsia="黑体" w:cs="Times New Roman"/>
          <w:sz w:val="32"/>
          <w:szCs w:val="32"/>
        </w:rPr>
        <w:t>十三、我省国家集采中选品种上市后不良反应重点监测。</w:t>
      </w:r>
      <w:r>
        <w:rPr>
          <w:rFonts w:hint="eastAsia" w:ascii="Times New Roman" w:hAnsi="Times New Roman" w:eastAsia="仿宋_GB2312" w:cs="Times New Roman"/>
          <w:snapToGrid w:val="0"/>
          <w:kern w:val="0"/>
          <w:sz w:val="32"/>
          <w:szCs w:val="32"/>
        </w:rPr>
        <w:t>为防范药品上市后安全风险隐患、保障人民用药安全，全面落实药品监管法律法规要求，从我省国家集采中选品种中遴选出使用量大、降幅高、既往不良反应预警信号多的代表性品种，通过重点监测工作，收集、分析、评价监测数据，为完善药品上市后安全信息提供技术支撑，更好地指导医疗机构临床用药。落实药品上市许可人药品安全责任，开展药品法律法规及安全用药等宣传，提高患者安全用药认知。</w:t>
      </w:r>
      <w:r>
        <w:rPr>
          <w:rFonts w:ascii="Times New Roman" w:hAnsi="Times New Roman" w:eastAsia="楷体_GB2312" w:cs="Times New Roman"/>
          <w:sz w:val="32"/>
          <w:szCs w:val="32"/>
        </w:rPr>
        <w:t>（责任单位：省</w:t>
      </w:r>
      <w:r>
        <w:rPr>
          <w:rFonts w:hint="eastAsia" w:ascii="Times New Roman" w:hAnsi="Times New Roman" w:eastAsia="楷体_GB2312" w:cs="Times New Roman"/>
          <w:sz w:val="32"/>
          <w:szCs w:val="32"/>
        </w:rPr>
        <w:t>药</w:t>
      </w:r>
      <w:r>
        <w:rPr>
          <w:rFonts w:ascii="Times New Roman" w:hAnsi="Times New Roman" w:eastAsia="楷体_GB2312" w:cs="Times New Roman"/>
          <w:sz w:val="32"/>
          <w:szCs w:val="32"/>
        </w:rPr>
        <w:t>监局）</w:t>
      </w:r>
    </w:p>
    <w:p>
      <w:pPr>
        <w:spacing w:line="579" w:lineRule="exact"/>
        <w:ind w:firstLine="640" w:firstLineChars="200"/>
        <w:rPr>
          <w:rFonts w:ascii="Times New Roman" w:hAnsi="Times New Roman" w:eastAsia="楷体_GB2312" w:cs="Times New Roman"/>
          <w:sz w:val="32"/>
          <w:szCs w:val="32"/>
        </w:rPr>
      </w:pPr>
      <w:r>
        <w:rPr>
          <w:rFonts w:hint="eastAsia" w:ascii="Times New Roman" w:hAnsi="Times New Roman" w:eastAsia="黑体" w:cs="Times New Roman"/>
          <w:sz w:val="32"/>
          <w:szCs w:val="32"/>
        </w:rPr>
        <w:t>十四</w:t>
      </w:r>
      <w:r>
        <w:rPr>
          <w:rFonts w:ascii="Times New Roman" w:hAnsi="Times New Roman" w:eastAsia="黑体" w:cs="Times New Roman"/>
          <w:sz w:val="32"/>
          <w:szCs w:val="32"/>
        </w:rPr>
        <w:t>、</w:t>
      </w:r>
      <w:r>
        <w:rPr>
          <w:rFonts w:hint="eastAsia" w:ascii="Times New Roman" w:hAnsi="Times New Roman" w:eastAsia="黑体" w:cs="Times New Roman"/>
          <w:sz w:val="32"/>
          <w:szCs w:val="32"/>
        </w:rPr>
        <w:t>深化法治为民，推进“企业问题清零”机制</w:t>
      </w:r>
      <w:r>
        <w:rPr>
          <w:rFonts w:ascii="Times New Roman" w:hAnsi="Times New Roman" w:eastAsia="黑体" w:cs="Times New Roman"/>
          <w:sz w:val="32"/>
          <w:szCs w:val="32"/>
        </w:rPr>
        <w:t>。</w:t>
      </w:r>
      <w:r>
        <w:rPr>
          <w:rFonts w:hint="eastAsia" w:ascii="Times New Roman" w:hAnsi="Times New Roman" w:eastAsia="仿宋_GB2312" w:cs="Times New Roman"/>
          <w:snapToGrid w:val="0"/>
          <w:kern w:val="0"/>
          <w:sz w:val="32"/>
          <w:szCs w:val="32"/>
        </w:rPr>
        <w:t>紧紧围绕党的二十大报告关于“坚持问题导向”“坚持高质量发展”“坚持以人民为中心的发展理念”等要求，在充分调研、准确把脉企业问题和个性化需求基础上，精心打造“企业问题清零”机制，通过向企业提供“量体裁衣”式法律服务，力求实现关企交流互动“零距离”、排忧解难“零障碍”、企业问题“零库存”目标</w:t>
      </w:r>
      <w:r>
        <w:rPr>
          <w:rFonts w:ascii="Times New Roman" w:hAnsi="Times New Roman" w:eastAsia="仿宋_GB2312" w:cs="Times New Roman"/>
          <w:snapToGrid w:val="0"/>
          <w:kern w:val="0"/>
          <w:sz w:val="32"/>
          <w:szCs w:val="32"/>
        </w:rPr>
        <w:t>。</w:t>
      </w:r>
      <w:r>
        <w:rPr>
          <w:rFonts w:ascii="Times New Roman" w:hAnsi="Times New Roman" w:eastAsia="楷体_GB2312" w:cs="Times New Roman"/>
          <w:sz w:val="32"/>
          <w:szCs w:val="32"/>
        </w:rPr>
        <w:t>（责任单位：</w:t>
      </w:r>
      <w:r>
        <w:rPr>
          <w:rFonts w:hint="eastAsia" w:ascii="Times New Roman" w:hAnsi="Times New Roman" w:eastAsia="楷体_GB2312" w:cs="Times New Roman"/>
          <w:sz w:val="32"/>
          <w:szCs w:val="32"/>
        </w:rPr>
        <w:t>南京海关</w:t>
      </w:r>
      <w:r>
        <w:rPr>
          <w:rFonts w:ascii="Times New Roman" w:hAnsi="Times New Roman" w:eastAsia="楷体_GB2312" w:cs="Times New Roman"/>
          <w:sz w:val="32"/>
          <w:szCs w:val="32"/>
        </w:rPr>
        <w:t>）</w:t>
      </w:r>
    </w:p>
    <w:p>
      <w:pPr>
        <w:widowControl/>
        <w:spacing w:line="579" w:lineRule="exact"/>
        <w:ind w:firstLine="640" w:firstLineChars="200"/>
        <w:rPr>
          <w:rFonts w:ascii="Times New Roman" w:hAnsi="Times New Roman" w:eastAsia="楷体_GB2312" w:cs="Times New Roman"/>
          <w:sz w:val="32"/>
          <w:szCs w:val="32"/>
        </w:rPr>
      </w:pPr>
      <w:r>
        <w:rPr>
          <w:rFonts w:hint="eastAsia" w:ascii="Times New Roman" w:hAnsi="Times New Roman" w:eastAsia="黑体" w:cs="Times New Roman"/>
          <w:sz w:val="32"/>
          <w:szCs w:val="32"/>
        </w:rPr>
        <w:t>十五</w:t>
      </w:r>
      <w:r>
        <w:rPr>
          <w:rFonts w:ascii="Times New Roman" w:hAnsi="Times New Roman" w:eastAsia="黑体" w:cs="Times New Roman"/>
          <w:sz w:val="32"/>
          <w:szCs w:val="32"/>
        </w:rPr>
        <w:t>、“我助妇儿康·妇儿权益维护与安全守护课堂”公益普法项目。</w:t>
      </w:r>
      <w:r>
        <w:rPr>
          <w:rFonts w:ascii="Times New Roman" w:hAnsi="Times New Roman" w:eastAsia="仿宋_GB2312" w:cs="Times New Roman"/>
          <w:snapToGrid w:val="0"/>
          <w:kern w:val="0"/>
          <w:sz w:val="32"/>
          <w:szCs w:val="32"/>
        </w:rPr>
        <w:t>聚焦侵害妇儿人身权益的重点难点问题，坚持预防在前、关口前移、全面保护的理念，面向全省妇女儿童宣传权益保护法律法规和防性侵、防家暴、防诈骗等法治安全知识。省司法厅、省律协面向全省律师招募一千名公益讲师，由基层妇联组织到城乡社区开展万场普法宣讲活动。妇联主动对接基层群众需求，制定普法计划，落实场所，组织群众。省妇儿基金会筹集资金，为公益讲师每场普法宣讲提供交通补贴100元。</w:t>
      </w:r>
      <w:r>
        <w:rPr>
          <w:rFonts w:ascii="Times New Roman" w:hAnsi="Times New Roman" w:eastAsia="楷体_GB2312" w:cs="Times New Roman"/>
          <w:sz w:val="32"/>
          <w:szCs w:val="32"/>
        </w:rPr>
        <w:t>（责任单位：省妇联）</w:t>
      </w:r>
    </w:p>
    <w:p>
      <w:pPr>
        <w:widowControl/>
        <w:spacing w:line="579" w:lineRule="exact"/>
        <w:ind w:firstLine="640" w:firstLineChars="200"/>
        <w:rPr>
          <w:rFonts w:ascii="Times New Roman" w:hAnsi="Times New Roman" w:eastAsia="方正仿宋_GBK" w:cs="Times New Roman"/>
          <w:sz w:val="24"/>
        </w:rPr>
      </w:pPr>
      <w:r>
        <w:rPr>
          <w:rFonts w:hint="eastAsia" w:ascii="Times New Roman" w:hAnsi="Times New Roman" w:eastAsia="黑体" w:cs="Times New Roman"/>
          <w:sz w:val="32"/>
          <w:szCs w:val="32"/>
        </w:rPr>
        <w:t>十六、残疾人法律救助工作站规范化建设。</w:t>
      </w:r>
      <w:r>
        <w:rPr>
          <w:rFonts w:hint="eastAsia" w:ascii="Times New Roman" w:hAnsi="Times New Roman" w:eastAsia="仿宋_GB2312" w:cs="Times New Roman"/>
          <w:snapToGrid w:val="0"/>
          <w:kern w:val="0"/>
          <w:sz w:val="32"/>
          <w:szCs w:val="32"/>
        </w:rPr>
        <w:t>实现10个设区市和20个县（市、区）的残疾人法律救助工作站规范化建设，发挥国家司法救助、法律援助、法律服务的功能和作用，建立服务残疾人的有效渠道，了解残疾人诉求，使残疾人享受服务门槛更低、服务内容更多、服务范围更广的法律服务，包含但不限于：法律咨询、代书、调解、协调、代理等。</w:t>
      </w:r>
      <w:r>
        <w:rPr>
          <w:rFonts w:ascii="Times New Roman" w:hAnsi="Times New Roman" w:eastAsia="方正楷体_GBK" w:cs="Times New Roman"/>
          <w:sz w:val="32"/>
          <w:szCs w:val="32"/>
        </w:rPr>
        <w:t>（责任单位：省残联）</w:t>
      </w:r>
    </w:p>
    <w:sectPr>
      <w:footerReference r:id="rId3" w:type="default"/>
      <w:pgSz w:w="11906" w:h="16838"/>
      <w:pgMar w:top="2098" w:right="1474" w:bottom="1985" w:left="1588"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3000509000000000000"/>
    <w:charset w:val="86"/>
    <w:family w:val="script"/>
    <w:pitch w:val="default"/>
    <w:sig w:usb0="00000001" w:usb1="080E0000" w:usb2="00000000" w:usb3="00000000" w:csb0="00040000" w:csb1="00000000"/>
  </w:font>
  <w:font w:name="方正小标宋_GBK">
    <w:panose1 w:val="03000502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 w:name="方正宋体S-超大字符集(SIP)">
    <w:panose1 w:val="03000509000000000000"/>
    <w:charset w:val="86"/>
    <w:family w:val="auto"/>
    <w:pitch w:val="default"/>
    <w:sig w:usb0="00000003" w:usb1="0A0E08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5906275"/>
      <w:docPartObj>
        <w:docPartGallery w:val="AutoText"/>
      </w:docPartObj>
    </w:sdtPr>
    <w:sdtEndPr>
      <w:rPr>
        <w:rFonts w:ascii="宋体" w:hAnsi="宋体" w:eastAsia="宋体"/>
        <w:sz w:val="28"/>
        <w:szCs w:val="28"/>
      </w:rPr>
    </w:sdtEndPr>
    <w:sdtContent>
      <w:p>
        <w:pPr>
          <w:pStyle w:val="4"/>
          <w:jc w:val="center"/>
          <w:rPr>
            <w:rFonts w:ascii="宋体" w:hAnsi="宋体" w:eastAsia="宋体"/>
            <w:sz w:val="28"/>
            <w:szCs w:val="28"/>
          </w:rPr>
        </w:pPr>
        <w:r>
          <w:rPr>
            <w:rFonts w:hint="eastAsia" w:ascii="宋体" w:hAnsi="宋体" w:eastAsia="宋体"/>
            <w:sz w:val="28"/>
            <w:szCs w:val="28"/>
          </w:rPr>
          <w:t>—</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rPr>
          <w:t>1</w:t>
        </w:r>
        <w:r>
          <w:rPr>
            <w:rFonts w:ascii="宋体" w:hAnsi="宋体" w:eastAsia="宋体"/>
            <w:sz w:val="28"/>
            <w:szCs w:val="28"/>
          </w:rPr>
          <w:fldChar w:fldCharType="end"/>
        </w:r>
        <w:r>
          <w:rPr>
            <w:rFonts w:hint="eastAsia" w:ascii="宋体" w:hAnsi="宋体" w:eastAsia="宋体"/>
            <w:sz w:val="28"/>
            <w:szCs w:val="28"/>
          </w:rPr>
          <w:t>—</w:t>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1MGEyZjNmY2U2NTllMzAwNjlkMjlhMjk3OGEwZDcifQ=="/>
  </w:docVars>
  <w:rsids>
    <w:rsidRoot w:val="03BA1B99"/>
    <w:rsid w:val="00015A02"/>
    <w:rsid w:val="000439C5"/>
    <w:rsid w:val="000460AD"/>
    <w:rsid w:val="000E65C4"/>
    <w:rsid w:val="00131873"/>
    <w:rsid w:val="001A2795"/>
    <w:rsid w:val="001B3A0E"/>
    <w:rsid w:val="00217F06"/>
    <w:rsid w:val="002445B3"/>
    <w:rsid w:val="002B5483"/>
    <w:rsid w:val="002C1FB6"/>
    <w:rsid w:val="00311B94"/>
    <w:rsid w:val="00373E55"/>
    <w:rsid w:val="00384F91"/>
    <w:rsid w:val="00424D1A"/>
    <w:rsid w:val="0043706A"/>
    <w:rsid w:val="004455A8"/>
    <w:rsid w:val="00490FAF"/>
    <w:rsid w:val="004A3138"/>
    <w:rsid w:val="004F5558"/>
    <w:rsid w:val="005A4AE3"/>
    <w:rsid w:val="005D705D"/>
    <w:rsid w:val="006770B6"/>
    <w:rsid w:val="00694992"/>
    <w:rsid w:val="006C7D3D"/>
    <w:rsid w:val="006D3451"/>
    <w:rsid w:val="0071096B"/>
    <w:rsid w:val="00747F13"/>
    <w:rsid w:val="00794C64"/>
    <w:rsid w:val="007B0333"/>
    <w:rsid w:val="008D66DD"/>
    <w:rsid w:val="0094145E"/>
    <w:rsid w:val="00A11BFC"/>
    <w:rsid w:val="00A2508F"/>
    <w:rsid w:val="00A31B00"/>
    <w:rsid w:val="00A34A41"/>
    <w:rsid w:val="00BD4F64"/>
    <w:rsid w:val="00C6356D"/>
    <w:rsid w:val="00CE6796"/>
    <w:rsid w:val="00D80CAC"/>
    <w:rsid w:val="00DA1CDD"/>
    <w:rsid w:val="00DC15A6"/>
    <w:rsid w:val="00DE54D4"/>
    <w:rsid w:val="00DF2B8F"/>
    <w:rsid w:val="00DF3D66"/>
    <w:rsid w:val="00E81DA2"/>
    <w:rsid w:val="00E90BF5"/>
    <w:rsid w:val="00EC263E"/>
    <w:rsid w:val="00F009AE"/>
    <w:rsid w:val="00F965D4"/>
    <w:rsid w:val="00FD6C83"/>
    <w:rsid w:val="018C4316"/>
    <w:rsid w:val="03BA1B99"/>
    <w:rsid w:val="04246559"/>
    <w:rsid w:val="06B04988"/>
    <w:rsid w:val="0C86379A"/>
    <w:rsid w:val="0EC108EB"/>
    <w:rsid w:val="15E056F0"/>
    <w:rsid w:val="17AF2468"/>
    <w:rsid w:val="196A266A"/>
    <w:rsid w:val="1BDD21C2"/>
    <w:rsid w:val="1DCF2F2D"/>
    <w:rsid w:val="1EA72655"/>
    <w:rsid w:val="21C0470A"/>
    <w:rsid w:val="28503431"/>
    <w:rsid w:val="29D60CAE"/>
    <w:rsid w:val="2AD20C5D"/>
    <w:rsid w:val="2F0E6236"/>
    <w:rsid w:val="308D3CB6"/>
    <w:rsid w:val="31144E94"/>
    <w:rsid w:val="31D3074A"/>
    <w:rsid w:val="35324954"/>
    <w:rsid w:val="354D68A0"/>
    <w:rsid w:val="395C529E"/>
    <w:rsid w:val="41F45941"/>
    <w:rsid w:val="45D1241A"/>
    <w:rsid w:val="49DC0CBB"/>
    <w:rsid w:val="51AE26BC"/>
    <w:rsid w:val="51B30516"/>
    <w:rsid w:val="53591E50"/>
    <w:rsid w:val="58E2665F"/>
    <w:rsid w:val="590D4A73"/>
    <w:rsid w:val="5FFF2857"/>
    <w:rsid w:val="65235F42"/>
    <w:rsid w:val="67A27113"/>
    <w:rsid w:val="69891532"/>
    <w:rsid w:val="6D8D1A6E"/>
    <w:rsid w:val="6E882FC4"/>
    <w:rsid w:val="6E8B59AE"/>
    <w:rsid w:val="70735A39"/>
    <w:rsid w:val="707C6CE3"/>
    <w:rsid w:val="79112886"/>
    <w:rsid w:val="7C520C06"/>
    <w:rsid w:val="F7EF12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0"/>
    <w:pPr>
      <w:autoSpaceDE w:val="0"/>
      <w:autoSpaceDN w:val="0"/>
      <w:ind w:left="109"/>
      <w:jc w:val="left"/>
    </w:pPr>
    <w:rPr>
      <w:rFonts w:ascii="宋体" w:hAnsi="宋体" w:cs="宋体"/>
      <w:kern w:val="0"/>
      <w:sz w:val="32"/>
      <w:szCs w:val="32"/>
      <w:lang w:val="zh-CN" w:bidi="zh-CN"/>
    </w:rPr>
  </w:style>
  <w:style w:type="paragraph" w:styleId="3">
    <w:name w:val="Date"/>
    <w:basedOn w:val="1"/>
    <w:next w:val="1"/>
    <w:link w:val="8"/>
    <w:qFormat/>
    <w:uiPriority w:val="0"/>
    <w:pPr>
      <w:ind w:left="100" w:leftChars="2500"/>
    </w:pPr>
  </w:style>
  <w:style w:type="paragraph" w:styleId="4">
    <w:name w:val="footer"/>
    <w:basedOn w:val="1"/>
    <w:link w:val="9"/>
    <w:qFormat/>
    <w:uiPriority w:val="99"/>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8">
    <w:name w:val="日期 字符"/>
    <w:basedOn w:val="7"/>
    <w:link w:val="3"/>
    <w:qFormat/>
    <w:uiPriority w:val="0"/>
    <w:rPr>
      <w:kern w:val="2"/>
      <w:sz w:val="21"/>
      <w:szCs w:val="22"/>
    </w:rPr>
  </w:style>
  <w:style w:type="character" w:customStyle="1" w:styleId="9">
    <w:name w:val="页脚 字符"/>
    <w:basedOn w:val="7"/>
    <w:link w:val="4"/>
    <w:qFormat/>
    <w:uiPriority w:val="99"/>
    <w:rPr>
      <w:kern w:val="2"/>
      <w:sz w:val="1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553</Words>
  <Characters>3154</Characters>
  <Lines>26</Lines>
  <Paragraphs>7</Paragraphs>
  <TotalTime>107</TotalTime>
  <ScaleCrop>false</ScaleCrop>
  <LinksUpToDate>false</LinksUpToDate>
  <CharactersWithSpaces>3700</CharactersWithSpaces>
  <Application>WPS Office_11.8.2.9831_F1E327BC-269C-435d-A152-05C5408002CA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2022-06-29T10:18:00Z</dcterms:created>
  <dc:creator>咦</dc:creator>
  <cp:lastModifiedBy>user</cp:lastModifiedBy>
  <cp:lastPrinted>2023-06-25T08:51:00Z</cp:lastPrinted>
  <dcterms:modified xsi:type="dcterms:W3CDTF">2023-06-29T17:00:44Z</dcterms:modified>
  <cp:revision>36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2052-11.8.2.9831</vt:lpwstr>
  </property>
  <property fmtid="{D5CDD505-2E9C-101B-9397-08002B2CF9AE}" pid="3" name="ICV">
    <vt:lpwstr>9E46135CD578411083989152BEA558BB</vt:lpwstr>
  </property>
</Properties>
</file>