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79A23C">
      <w:pPr>
        <w:jc w:val="center"/>
        <w:rPr>
          <w:rFonts w:hint="default" w:ascii="方正公文小标宋" w:hAnsi="方正公文小标宋" w:eastAsia="方正小标宋_GBK" w:cs="方正公文小标宋"/>
          <w:color w:val="auto"/>
          <w:sz w:val="44"/>
          <w:szCs w:val="44"/>
          <w:lang w:val="en-US" w:eastAsia="zh-CN"/>
        </w:rPr>
      </w:pPr>
      <w:r>
        <w:rPr>
          <w:rFonts w:hint="eastAsia" w:ascii="方正小标宋_GBK" w:hAnsi="方正小标宋_GBK" w:eastAsia="方正小标宋_GBK" w:cs="方正小标宋_GBK"/>
          <w:color w:val="auto"/>
          <w:sz w:val="44"/>
          <w:szCs w:val="44"/>
          <w:lang w:val="en-US" w:eastAsia="zh-CN"/>
        </w:rPr>
        <w:t>关于加强</w:t>
      </w:r>
      <w:r>
        <w:rPr>
          <w:rFonts w:hint="eastAsia" w:ascii="方正小标宋_GBK" w:hAnsi="方正小标宋_GBK" w:eastAsia="方正小标宋_GBK" w:cs="方正小标宋_GBK"/>
          <w:color w:val="auto"/>
          <w:sz w:val="44"/>
          <w:szCs w:val="44"/>
        </w:rPr>
        <w:t>司法鉴定机构登记</w:t>
      </w:r>
      <w:r>
        <w:rPr>
          <w:rFonts w:hint="eastAsia" w:ascii="方正小标宋_GBK" w:hAnsi="方正小标宋_GBK" w:eastAsia="方正小标宋_GBK" w:cs="方正小标宋_GBK"/>
          <w:color w:val="auto"/>
          <w:sz w:val="44"/>
          <w:szCs w:val="44"/>
          <w:lang w:val="en-US" w:eastAsia="zh-CN"/>
        </w:rPr>
        <w:t>管理工作的意见</w:t>
      </w:r>
    </w:p>
    <w:p w14:paraId="6F1479F5">
      <w:pPr>
        <w:jc w:val="center"/>
        <w:rPr>
          <w:rFonts w:hint="eastAsia" w:ascii="楷体_GB2312" w:hAnsi="楷体_GB2312" w:eastAsia="楷体_GB2312" w:cs="楷体_GB2312"/>
          <w:color w:val="auto"/>
          <w:spacing w:val="6"/>
          <w:szCs w:val="32"/>
        </w:rPr>
      </w:pPr>
      <w:r>
        <w:rPr>
          <w:rFonts w:hint="eastAsia" w:ascii="楷体_GB2312" w:hAnsi="楷体_GB2312" w:eastAsia="楷体_GB2312" w:cs="楷体_GB2312"/>
          <w:color w:val="auto"/>
          <w:lang w:eastAsia="zh-CN"/>
        </w:rPr>
        <w:t>（征求意见稿）</w:t>
      </w:r>
    </w:p>
    <w:p w14:paraId="43811829">
      <w:pPr>
        <w:ind w:firstLine="656" w:firstLineChars="200"/>
        <w:rPr>
          <w:rFonts w:hint="eastAsia" w:ascii="仿宋_GB2312" w:hAnsi="仿宋_GB2312" w:eastAsia="仿宋_GB2312" w:cs="仿宋_GB2312"/>
          <w:color w:val="auto"/>
          <w:spacing w:val="6"/>
          <w:szCs w:val="32"/>
        </w:rPr>
      </w:pPr>
    </w:p>
    <w:p w14:paraId="29417217">
      <w:pPr>
        <w:ind w:firstLine="656" w:firstLineChars="200"/>
        <w:rPr>
          <w:rFonts w:ascii="仿宋_GB2312" w:hAnsi="仿宋_GB2312" w:eastAsia="仿宋_GB2312" w:cs="仿宋_GB2312"/>
          <w:color w:val="auto"/>
          <w:spacing w:val="2"/>
          <w:szCs w:val="32"/>
          <w:u w:val="none"/>
        </w:rPr>
      </w:pPr>
      <w:bookmarkStart w:id="0" w:name="_GoBack"/>
      <w:r>
        <w:rPr>
          <w:rFonts w:hint="eastAsia" w:ascii="仿宋_GB2312" w:hAnsi="仿宋_GB2312" w:eastAsia="仿宋_GB2312" w:cs="仿宋_GB2312"/>
          <w:color w:val="auto"/>
          <w:spacing w:val="6"/>
          <w:szCs w:val="32"/>
          <w:u w:val="none"/>
        </w:rPr>
        <w:t>为进一步规范</w:t>
      </w:r>
      <w:r>
        <w:rPr>
          <w:rFonts w:hint="eastAsia" w:ascii="仿宋_GB2312" w:hAnsi="仿宋_GB2312" w:eastAsia="仿宋_GB2312" w:cs="仿宋_GB2312"/>
          <w:color w:val="auto"/>
          <w:spacing w:val="6"/>
          <w:szCs w:val="32"/>
          <w:u w:val="none"/>
          <w:lang w:val="en-US" w:eastAsia="zh-CN"/>
        </w:rPr>
        <w:t>“十五五”期间</w:t>
      </w:r>
      <w:r>
        <w:rPr>
          <w:rFonts w:hint="eastAsia" w:ascii="仿宋_GB2312" w:hAnsi="仿宋_GB2312" w:eastAsia="仿宋_GB2312" w:cs="仿宋_GB2312"/>
          <w:color w:val="auto"/>
          <w:spacing w:val="6"/>
          <w:szCs w:val="32"/>
          <w:u w:val="none"/>
        </w:rPr>
        <w:t>我省司法鉴定机构登记管理工作，根据</w:t>
      </w:r>
      <w:r>
        <w:rPr>
          <w:rFonts w:hint="eastAsia" w:ascii="仿宋_GB2312" w:hAnsi="仿宋_GB2312" w:eastAsia="仿宋_GB2312" w:cs="仿宋_GB2312"/>
          <w:color w:val="auto"/>
          <w:kern w:val="0"/>
          <w:szCs w:val="32"/>
          <w:u w:val="none"/>
        </w:rPr>
        <w:t>司法部《司法鉴定机构登记管理办法》《关于</w:t>
      </w:r>
      <w:r>
        <w:rPr>
          <w:rFonts w:hint="eastAsia" w:ascii="仿宋_GB2312" w:hAnsi="仿宋_GB2312" w:eastAsia="仿宋_GB2312" w:cs="仿宋_GB2312"/>
          <w:color w:val="auto"/>
          <w:kern w:val="0"/>
          <w:szCs w:val="32"/>
          <w:u w:val="none"/>
          <w:lang w:val="en-US" w:eastAsia="zh-CN"/>
        </w:rPr>
        <w:t>进一步深化改革 强化监管 提高司法鉴定质量和公信力的意见</w:t>
      </w:r>
      <w:r>
        <w:rPr>
          <w:rFonts w:hint="eastAsia" w:ascii="仿宋_GB2312" w:hAnsi="仿宋_GB2312" w:eastAsia="仿宋_GB2312" w:cs="仿宋_GB2312"/>
          <w:color w:val="auto"/>
          <w:kern w:val="0"/>
          <w:szCs w:val="32"/>
          <w:u w:val="none"/>
        </w:rPr>
        <w:t>》《司法鉴定机构和司法鉴定人退出管理办法（试行）》和</w:t>
      </w:r>
      <w:r>
        <w:rPr>
          <w:rFonts w:hint="eastAsia" w:ascii="仿宋_GB2312" w:hAnsi="仿宋_GB2312" w:eastAsia="仿宋_GB2312" w:cs="仿宋_GB2312"/>
          <w:color w:val="auto"/>
          <w:spacing w:val="15"/>
          <w:szCs w:val="32"/>
          <w:u w:val="none"/>
        </w:rPr>
        <w:t>《江苏省司法鉴</w:t>
      </w:r>
      <w:r>
        <w:rPr>
          <w:rFonts w:hint="eastAsia" w:ascii="仿宋_GB2312" w:hAnsi="仿宋_GB2312" w:eastAsia="仿宋_GB2312" w:cs="仿宋_GB2312"/>
          <w:color w:val="auto"/>
          <w:spacing w:val="14"/>
          <w:szCs w:val="32"/>
          <w:u w:val="none"/>
        </w:rPr>
        <w:t>定管理条例》</w:t>
      </w:r>
      <w:r>
        <w:rPr>
          <w:rFonts w:hint="eastAsia" w:ascii="仿宋_GB2312" w:hAnsi="仿宋_GB2312" w:eastAsia="仿宋_GB2312" w:cs="仿宋_GB2312"/>
          <w:color w:val="auto"/>
          <w:spacing w:val="2"/>
          <w:szCs w:val="32"/>
          <w:u w:val="none"/>
        </w:rPr>
        <w:t>等规定，制定本</w:t>
      </w:r>
      <w:r>
        <w:rPr>
          <w:rFonts w:hint="eastAsia" w:ascii="仿宋_GB2312" w:hAnsi="仿宋_GB2312" w:eastAsia="仿宋_GB2312" w:cs="仿宋_GB2312"/>
          <w:color w:val="auto"/>
          <w:spacing w:val="2"/>
          <w:szCs w:val="32"/>
          <w:u w:val="none"/>
          <w:lang w:val="en-US" w:eastAsia="zh-CN"/>
        </w:rPr>
        <w:t>意见</w:t>
      </w:r>
      <w:r>
        <w:rPr>
          <w:rFonts w:hint="eastAsia" w:ascii="仿宋_GB2312" w:hAnsi="仿宋_GB2312" w:eastAsia="仿宋_GB2312" w:cs="仿宋_GB2312"/>
          <w:color w:val="auto"/>
          <w:spacing w:val="2"/>
          <w:szCs w:val="32"/>
          <w:u w:val="none"/>
        </w:rPr>
        <w:t>。</w:t>
      </w:r>
    </w:p>
    <w:p w14:paraId="68C8C541">
      <w:pPr>
        <w:ind w:left="688"/>
        <w:outlineLvl w:val="2"/>
        <w:rPr>
          <w:rFonts w:ascii="黑体" w:hAnsi="黑体" w:eastAsia="黑体" w:cs="宋体"/>
          <w:color w:val="auto"/>
          <w:kern w:val="0"/>
          <w:szCs w:val="32"/>
          <w:u w:val="none"/>
        </w:rPr>
      </w:pPr>
      <w:r>
        <w:rPr>
          <w:rFonts w:hint="eastAsia" w:ascii="黑体" w:hAnsi="黑体" w:eastAsia="黑体" w:cs="黑体"/>
          <w:color w:val="auto"/>
          <w:spacing w:val="2"/>
          <w:szCs w:val="32"/>
          <w:u w:val="none"/>
        </w:rPr>
        <w:t>一、</w:t>
      </w:r>
      <w:r>
        <w:rPr>
          <w:rFonts w:hint="eastAsia" w:ascii="黑体" w:hAnsi="黑体" w:eastAsia="黑体" w:cs="宋体"/>
          <w:color w:val="auto"/>
          <w:kern w:val="0"/>
          <w:szCs w:val="32"/>
          <w:u w:val="none"/>
        </w:rPr>
        <w:t>总体要求</w:t>
      </w:r>
    </w:p>
    <w:p w14:paraId="6CA4B9A3">
      <w:pPr>
        <w:ind w:left="64" w:right="20" w:firstLine="619"/>
        <w:rPr>
          <w:rFonts w:ascii="仿宋_GB2312" w:hAnsi="仿宋_GB2312" w:eastAsia="仿宋_GB2312" w:cs="仿宋_GB2312"/>
          <w:color w:val="auto"/>
          <w:kern w:val="0"/>
          <w:szCs w:val="32"/>
          <w:u w:val="none"/>
        </w:rPr>
      </w:pPr>
      <w:r>
        <w:rPr>
          <w:rFonts w:hint="eastAsia" w:ascii="仿宋_GB2312" w:hAnsi="仿宋" w:eastAsia="仿宋_GB2312"/>
          <w:color w:val="auto"/>
          <w:szCs w:val="32"/>
          <w:u w:val="none"/>
        </w:rPr>
        <w:t>严格贯彻落实司法部“统筹规划、合理布局、优化结构、有序发展”的要求，根据近三年来全省司法鉴定案件办理情况和各地司法鉴定机构发展实际，</w:t>
      </w:r>
      <w:r>
        <w:rPr>
          <w:rFonts w:hint="eastAsia" w:ascii="仿宋_GB2312" w:hAnsi="仿宋_GB2312" w:eastAsia="仿宋_GB2312" w:cs="仿宋_GB2312"/>
          <w:color w:val="auto"/>
          <w:kern w:val="0"/>
          <w:szCs w:val="32"/>
          <w:u w:val="none"/>
        </w:rPr>
        <w:t>进一步填补业务空白、完善业务结构，推动传统业务提质增效、新型业务拓展创新，为全省司法鉴定高质量发展打牢基础。</w:t>
      </w:r>
      <w:r>
        <w:rPr>
          <w:rFonts w:hint="eastAsia" w:ascii="仿宋_GB2312" w:hAnsi="仿宋_GB2312" w:eastAsia="仿宋_GB2312" w:cs="仿宋_GB2312"/>
          <w:color w:val="auto"/>
          <w:spacing w:val="6"/>
          <w:szCs w:val="32"/>
          <w:u w:val="none"/>
          <w:lang w:val="en-US" w:eastAsia="zh-CN"/>
        </w:rPr>
        <w:t>“十五五”</w:t>
      </w:r>
      <w:r>
        <w:rPr>
          <w:rFonts w:hint="eastAsia" w:ascii="仿宋_GB2312" w:hAnsi="仿宋_GB2312" w:eastAsia="仿宋_GB2312" w:cs="仿宋_GB2312"/>
          <w:color w:val="auto"/>
          <w:kern w:val="0"/>
          <w:szCs w:val="32"/>
          <w:u w:val="none"/>
          <w:lang w:val="en-US" w:eastAsia="zh-CN"/>
        </w:rPr>
        <w:t>期间</w:t>
      </w:r>
      <w:r>
        <w:rPr>
          <w:rFonts w:hint="eastAsia" w:ascii="仿宋_GB2312" w:hAnsi="仿宋" w:eastAsia="仿宋_GB2312"/>
          <w:color w:val="auto"/>
          <w:szCs w:val="32"/>
          <w:u w:val="none"/>
        </w:rPr>
        <w:t>，</w:t>
      </w:r>
      <w:r>
        <w:rPr>
          <w:rFonts w:hint="eastAsia" w:ascii="仿宋_GB2312" w:hAnsi="仿宋_GB2312" w:eastAsia="仿宋_GB2312" w:cs="仿宋_GB2312"/>
          <w:color w:val="auto"/>
          <w:kern w:val="0"/>
          <w:szCs w:val="32"/>
          <w:u w:val="none"/>
        </w:rPr>
        <w:t>坚持</w:t>
      </w:r>
      <w:r>
        <w:rPr>
          <w:rFonts w:hint="eastAsia" w:ascii="仿宋_GB2312" w:hAnsi="仿宋_GB2312" w:eastAsia="仿宋_GB2312" w:cs="仿宋_GB2312"/>
          <w:color w:val="auto"/>
          <w:kern w:val="0"/>
          <w:szCs w:val="32"/>
          <w:u w:val="none"/>
          <w:lang w:val="en-US" w:eastAsia="zh-CN"/>
        </w:rPr>
        <w:t>科学统筹</w:t>
      </w:r>
      <w:r>
        <w:rPr>
          <w:rFonts w:hint="eastAsia" w:ascii="仿宋_GB2312" w:hAnsi="仿宋_GB2312" w:eastAsia="仿宋_GB2312" w:cs="仿宋_GB2312"/>
          <w:color w:val="auto"/>
          <w:kern w:val="0"/>
          <w:szCs w:val="32"/>
          <w:u w:val="none"/>
        </w:rPr>
        <w:t>，严格落实司法鉴定机构准入条件，加快高资质、高水平的司法鉴定机构建设，引导小微机构</w:t>
      </w:r>
      <w:r>
        <w:rPr>
          <w:rFonts w:hint="eastAsia" w:ascii="仿宋_GB2312" w:hAnsi="仿宋_GB2312" w:eastAsia="仿宋_GB2312" w:cs="仿宋_GB2312"/>
          <w:color w:val="auto"/>
          <w:kern w:val="0"/>
          <w:szCs w:val="32"/>
          <w:u w:val="none"/>
          <w:lang w:val="en-US" w:eastAsia="zh-CN"/>
        </w:rPr>
        <w:t>做大做强</w:t>
      </w:r>
      <w:r>
        <w:rPr>
          <w:rFonts w:hint="eastAsia" w:ascii="仿宋_GB2312" w:hAnsi="仿宋_GB2312" w:eastAsia="仿宋_GB2312" w:cs="仿宋_GB2312"/>
          <w:color w:val="auto"/>
          <w:kern w:val="0"/>
          <w:szCs w:val="32"/>
          <w:u w:val="none"/>
        </w:rPr>
        <w:t>，完善低效机构退出机制，</w:t>
      </w:r>
      <w:r>
        <w:rPr>
          <w:rFonts w:ascii="仿宋_GB2312" w:hAnsi="仿宋" w:eastAsia="仿宋_GB2312"/>
          <w:color w:val="auto"/>
          <w:szCs w:val="32"/>
          <w:u w:val="none"/>
        </w:rPr>
        <w:t>努力</w:t>
      </w:r>
      <w:r>
        <w:rPr>
          <w:rFonts w:hint="eastAsia" w:ascii="仿宋_GB2312" w:hAnsi="仿宋" w:eastAsia="仿宋_GB2312"/>
          <w:color w:val="auto"/>
          <w:szCs w:val="32"/>
          <w:u w:val="none"/>
        </w:rPr>
        <w:t>形成</w:t>
      </w:r>
      <w:r>
        <w:rPr>
          <w:rFonts w:hint="eastAsia" w:ascii="仿宋_GB2312" w:hAnsi="仿宋_GB2312" w:eastAsia="仿宋_GB2312" w:cs="仿宋_GB2312"/>
          <w:color w:val="auto"/>
          <w:spacing w:val="5"/>
          <w:szCs w:val="32"/>
          <w:u w:val="none"/>
        </w:rPr>
        <w:t>布局更加合理，</w:t>
      </w:r>
      <w:r>
        <w:rPr>
          <w:rFonts w:hint="eastAsia" w:ascii="仿宋_GB2312" w:hAnsi="仿宋_GB2312" w:eastAsia="仿宋_GB2312" w:cs="仿宋_GB2312"/>
          <w:color w:val="auto"/>
          <w:spacing w:val="18"/>
          <w:szCs w:val="32"/>
          <w:u w:val="none"/>
        </w:rPr>
        <w:t>服务网络更加完</w:t>
      </w:r>
      <w:r>
        <w:rPr>
          <w:rFonts w:hint="eastAsia" w:ascii="仿宋_GB2312" w:hAnsi="仿宋_GB2312" w:eastAsia="仿宋_GB2312" w:cs="仿宋_GB2312"/>
          <w:color w:val="auto"/>
          <w:spacing w:val="5"/>
          <w:szCs w:val="32"/>
          <w:u w:val="none"/>
        </w:rPr>
        <w:t>善，业务结构更加优化</w:t>
      </w:r>
      <w:r>
        <w:rPr>
          <w:rFonts w:hint="eastAsia" w:ascii="仿宋_GB2312" w:hAnsi="仿宋_GB2312" w:eastAsia="仿宋_GB2312" w:cs="仿宋_GB2312"/>
          <w:color w:val="auto"/>
          <w:spacing w:val="-3"/>
          <w:szCs w:val="32"/>
          <w:u w:val="none"/>
        </w:rPr>
        <w:t>的全省司法鉴定工作格局，更好满足</w:t>
      </w:r>
      <w:r>
        <w:rPr>
          <w:rFonts w:hint="eastAsia" w:ascii="仿宋_GB2312" w:hAnsi="仿宋" w:eastAsia="仿宋_GB2312"/>
          <w:color w:val="auto"/>
          <w:szCs w:val="32"/>
          <w:u w:val="none"/>
        </w:rPr>
        <w:t>诉讼活动需要和群众对鉴定服务的需求。</w:t>
      </w:r>
    </w:p>
    <w:p w14:paraId="17262DD3">
      <w:pPr>
        <w:ind w:left="688"/>
        <w:outlineLvl w:val="2"/>
        <w:rPr>
          <w:rFonts w:ascii="黑体" w:hAnsi="黑体" w:eastAsia="黑体" w:cs="黑体"/>
          <w:color w:val="auto"/>
          <w:szCs w:val="32"/>
          <w:u w:val="none"/>
        </w:rPr>
      </w:pPr>
      <w:r>
        <w:rPr>
          <w:rFonts w:hint="eastAsia" w:ascii="黑体" w:hAnsi="黑体" w:eastAsia="黑体" w:cs="黑体"/>
          <w:color w:val="auto"/>
          <w:spacing w:val="2"/>
          <w:szCs w:val="32"/>
          <w:u w:val="none"/>
        </w:rPr>
        <w:t>二、基本原则</w:t>
      </w:r>
    </w:p>
    <w:p w14:paraId="3C7CD300">
      <w:pPr>
        <w:ind w:left="0" w:right="15" w:firstLine="676" w:firstLineChars="200"/>
        <w:rPr>
          <w:rFonts w:ascii="仿宋_GB2312" w:hAnsi="仿宋_GB2312" w:eastAsia="仿宋_GB2312" w:cs="仿宋_GB2312"/>
          <w:color w:val="auto"/>
          <w:spacing w:val="3"/>
          <w:szCs w:val="32"/>
          <w:u w:val="none"/>
        </w:rPr>
      </w:pPr>
      <w:r>
        <w:rPr>
          <w:rFonts w:hint="eastAsia" w:ascii="楷体" w:hAnsi="楷体" w:eastAsia="楷体" w:cs="楷体"/>
          <w:color w:val="auto"/>
          <w:spacing w:val="11"/>
          <w:szCs w:val="32"/>
          <w:u w:val="none"/>
        </w:rPr>
        <w:t>（一）</w:t>
      </w:r>
      <w:r>
        <w:rPr>
          <w:rFonts w:hint="eastAsia" w:ascii="楷体" w:hAnsi="楷体" w:eastAsia="楷体" w:cs="楷体"/>
          <w:color w:val="auto"/>
          <w:spacing w:val="11"/>
          <w:szCs w:val="32"/>
          <w:u w:val="none"/>
          <w:lang w:val="en-US" w:eastAsia="zh-CN"/>
        </w:rPr>
        <w:t>科学统筹</w:t>
      </w:r>
      <w:r>
        <w:rPr>
          <w:rFonts w:hint="eastAsia" w:ascii="楷体" w:hAnsi="楷体" w:eastAsia="楷体" w:cs="楷体"/>
          <w:color w:val="auto"/>
          <w:spacing w:val="11"/>
          <w:szCs w:val="32"/>
          <w:u w:val="none"/>
        </w:rPr>
        <w:t>，有序发展。</w:t>
      </w:r>
      <w:r>
        <w:rPr>
          <w:rFonts w:hint="eastAsia" w:ascii="仿宋_GB2312" w:hAnsi="仿宋_GB2312" w:eastAsia="仿宋_GB2312" w:cs="仿宋_GB2312"/>
          <w:color w:val="auto"/>
          <w:spacing w:val="4"/>
          <w:szCs w:val="32"/>
          <w:u w:val="none"/>
        </w:rPr>
        <w:t>在规范现有鉴定机构的基</w:t>
      </w:r>
      <w:r>
        <w:rPr>
          <w:rFonts w:hint="eastAsia" w:ascii="仿宋_GB2312" w:hAnsi="仿宋_GB2312" w:eastAsia="仿宋_GB2312" w:cs="仿宋_GB2312"/>
          <w:color w:val="auto"/>
          <w:spacing w:val="5"/>
          <w:szCs w:val="32"/>
          <w:u w:val="none"/>
        </w:rPr>
        <w:t>础上，审慎、稳妥、有序发展鉴定机构，避</w:t>
      </w:r>
      <w:r>
        <w:rPr>
          <w:rFonts w:hint="eastAsia" w:ascii="仿宋_GB2312" w:hAnsi="仿宋_GB2312" w:eastAsia="仿宋_GB2312" w:cs="仿宋_GB2312"/>
          <w:color w:val="auto"/>
          <w:spacing w:val="3"/>
          <w:szCs w:val="32"/>
          <w:u w:val="none"/>
        </w:rPr>
        <w:t>免重复建设、盲目发展、恶性竞争和低水平运行。</w:t>
      </w:r>
    </w:p>
    <w:p w14:paraId="10085812">
      <w:pPr>
        <w:ind w:left="0" w:right="32" w:firstLine="676" w:firstLineChars="200"/>
        <w:rPr>
          <w:color w:val="auto"/>
          <w:u w:val="none"/>
        </w:rPr>
      </w:pPr>
      <w:r>
        <w:rPr>
          <w:rFonts w:hint="eastAsia" w:ascii="楷体" w:hAnsi="楷体" w:eastAsia="楷体" w:cs="楷体"/>
          <w:color w:val="auto"/>
          <w:spacing w:val="11"/>
          <w:szCs w:val="32"/>
          <w:u w:val="none"/>
        </w:rPr>
        <w:t>（二）</w:t>
      </w:r>
      <w:r>
        <w:rPr>
          <w:rFonts w:hint="eastAsia" w:ascii="楷体_GB2312" w:hAnsi="微软雅黑" w:eastAsia="楷体_GB2312" w:cs="楷体_GB2312"/>
          <w:color w:val="auto"/>
          <w:kern w:val="0"/>
          <w:szCs w:val="32"/>
          <w:u w:val="none"/>
        </w:rPr>
        <w:t>需求导向</w:t>
      </w:r>
      <w:r>
        <w:rPr>
          <w:rFonts w:hint="eastAsia" w:ascii="楷体" w:hAnsi="楷体" w:eastAsia="楷体" w:cs="楷体"/>
          <w:color w:val="auto"/>
          <w:spacing w:val="11"/>
          <w:szCs w:val="32"/>
          <w:u w:val="none"/>
        </w:rPr>
        <w:t>，合理布局。</w:t>
      </w:r>
      <w:r>
        <w:rPr>
          <w:rFonts w:hint="eastAsia" w:ascii="仿宋_GB2312" w:hAnsi="仿宋_GB2312" w:eastAsia="仿宋_GB2312" w:cs="仿宋_GB2312"/>
          <w:color w:val="auto"/>
          <w:spacing w:val="5"/>
          <w:szCs w:val="32"/>
          <w:u w:val="none"/>
          <w:lang w:eastAsia="zh-CN"/>
        </w:rPr>
        <w:t>根据近三年全省</w:t>
      </w:r>
      <w:r>
        <w:rPr>
          <w:rFonts w:hint="eastAsia" w:ascii="仿宋_GB2312" w:hAnsi="仿宋_GB2312" w:eastAsia="仿宋_GB2312" w:cs="仿宋_GB2312"/>
          <w:color w:val="auto"/>
          <w:spacing w:val="5"/>
          <w:szCs w:val="32"/>
          <w:u w:val="none"/>
        </w:rPr>
        <w:t>司法鉴定业务</w:t>
      </w:r>
      <w:r>
        <w:rPr>
          <w:rFonts w:hint="eastAsia" w:ascii="仿宋_GB2312" w:hAnsi="仿宋_GB2312" w:eastAsia="仿宋_GB2312" w:cs="仿宋_GB2312"/>
          <w:color w:val="auto"/>
          <w:spacing w:val="5"/>
          <w:szCs w:val="32"/>
          <w:u w:val="none"/>
          <w:lang w:eastAsia="zh-CN"/>
        </w:rPr>
        <w:t>量</w:t>
      </w:r>
      <w:r>
        <w:rPr>
          <w:rFonts w:hint="eastAsia" w:ascii="仿宋_GB2312" w:hAnsi="仿宋_GB2312" w:eastAsia="仿宋_GB2312" w:cs="仿宋_GB2312"/>
          <w:color w:val="auto"/>
          <w:spacing w:val="5"/>
          <w:szCs w:val="32"/>
          <w:u w:val="none"/>
        </w:rPr>
        <w:t>，</w:t>
      </w:r>
      <w:r>
        <w:rPr>
          <w:rFonts w:hint="eastAsia" w:ascii="仿宋_GB2312" w:hAnsi="仿宋_GB2312" w:eastAsia="仿宋_GB2312" w:cs="仿宋_GB2312"/>
          <w:color w:val="auto"/>
          <w:kern w:val="0"/>
          <w:szCs w:val="32"/>
          <w:u w:val="none"/>
        </w:rPr>
        <w:t>综合考虑各地人口数量、经济发展、资源状况等因素，结合各司法鉴定业务复杂程度、技术需求</w:t>
      </w:r>
      <w:r>
        <w:rPr>
          <w:rFonts w:hint="eastAsia" w:ascii="仿宋_GB2312" w:hAnsi="仿宋_GB2312" w:eastAsia="仿宋_GB2312" w:cs="仿宋_GB2312"/>
          <w:color w:val="auto"/>
          <w:kern w:val="0"/>
          <w:szCs w:val="32"/>
          <w:u w:val="none"/>
          <w:lang w:eastAsia="zh-CN"/>
        </w:rPr>
        <w:t>、能力短板</w:t>
      </w:r>
      <w:r>
        <w:rPr>
          <w:rFonts w:hint="eastAsia" w:ascii="仿宋_GB2312" w:hAnsi="仿宋_GB2312" w:eastAsia="仿宋_GB2312" w:cs="仿宋_GB2312"/>
          <w:color w:val="auto"/>
          <w:kern w:val="0"/>
          <w:szCs w:val="32"/>
          <w:u w:val="none"/>
        </w:rPr>
        <w:t>等</w:t>
      </w:r>
      <w:r>
        <w:rPr>
          <w:rFonts w:hint="eastAsia" w:ascii="仿宋_GB2312" w:hAnsi="仿宋_GB2312" w:eastAsia="仿宋_GB2312" w:cs="仿宋_GB2312"/>
          <w:color w:val="auto"/>
          <w:kern w:val="0"/>
          <w:szCs w:val="32"/>
          <w:u w:val="none"/>
          <w:lang w:eastAsia="zh-CN"/>
        </w:rPr>
        <w:t>情况</w:t>
      </w:r>
      <w:r>
        <w:rPr>
          <w:rFonts w:hint="eastAsia" w:ascii="仿宋_GB2312" w:hAnsi="仿宋_GB2312" w:eastAsia="仿宋_GB2312" w:cs="仿宋_GB2312"/>
          <w:color w:val="auto"/>
          <w:kern w:val="0"/>
          <w:szCs w:val="32"/>
          <w:u w:val="none"/>
        </w:rPr>
        <w:t>，合理</w:t>
      </w:r>
      <w:r>
        <w:rPr>
          <w:rFonts w:hint="eastAsia" w:ascii="仿宋_GB2312" w:hAnsi="仿宋_GB2312" w:eastAsia="仿宋_GB2312" w:cs="仿宋_GB2312"/>
          <w:color w:val="auto"/>
          <w:kern w:val="0"/>
          <w:szCs w:val="32"/>
          <w:u w:val="none"/>
          <w:lang w:val="en-US" w:eastAsia="zh-CN"/>
        </w:rPr>
        <w:t>布局</w:t>
      </w:r>
      <w:r>
        <w:rPr>
          <w:rFonts w:hint="eastAsia" w:ascii="仿宋_GB2312" w:hAnsi="仿宋_GB2312" w:eastAsia="仿宋_GB2312" w:cs="仿宋_GB2312"/>
          <w:color w:val="auto"/>
          <w:kern w:val="0"/>
          <w:szCs w:val="32"/>
          <w:u w:val="none"/>
          <w:lang w:eastAsia="zh-CN"/>
        </w:rPr>
        <w:t>各类别</w:t>
      </w:r>
      <w:r>
        <w:rPr>
          <w:rFonts w:hint="eastAsia" w:ascii="仿宋_GB2312" w:hAnsi="仿宋_GB2312" w:eastAsia="仿宋_GB2312" w:cs="仿宋_GB2312"/>
          <w:color w:val="auto"/>
          <w:kern w:val="0"/>
          <w:szCs w:val="32"/>
          <w:u w:val="none"/>
        </w:rPr>
        <w:t>司法鉴定机构。</w:t>
      </w:r>
    </w:p>
    <w:p w14:paraId="1B9229CC">
      <w:pPr>
        <w:ind w:left="0" w:right="2" w:firstLine="676" w:firstLineChars="200"/>
        <w:rPr>
          <w:rFonts w:ascii="方正仿宋_GB2312" w:hAnsi="方正仿宋_GB2312" w:eastAsia="方正仿宋_GB2312" w:cs="方正仿宋_GB2312"/>
          <w:color w:val="auto"/>
          <w:szCs w:val="32"/>
          <w:u w:val="none"/>
        </w:rPr>
      </w:pPr>
      <w:r>
        <w:rPr>
          <w:rFonts w:hint="eastAsia" w:ascii="楷体" w:hAnsi="楷体" w:eastAsia="楷体" w:cs="楷体"/>
          <w:color w:val="auto"/>
          <w:spacing w:val="11"/>
          <w:szCs w:val="32"/>
          <w:u w:val="none"/>
        </w:rPr>
        <w:t>（三）优化结构，提升能力。</w:t>
      </w:r>
      <w:r>
        <w:rPr>
          <w:rFonts w:hint="eastAsia" w:ascii="仿宋_GB2312" w:hAnsi="仿宋_GB2312" w:eastAsia="仿宋_GB2312" w:cs="仿宋_GB2312"/>
          <w:color w:val="auto"/>
          <w:spacing w:val="2"/>
          <w:szCs w:val="32"/>
          <w:u w:val="none"/>
        </w:rPr>
        <w:t>坚持高起点、高标准发展</w:t>
      </w:r>
      <w:r>
        <w:rPr>
          <w:rFonts w:hint="eastAsia" w:ascii="仿宋_GB2312" w:hAnsi="仿宋_GB2312" w:eastAsia="仿宋_GB2312" w:cs="仿宋_GB2312"/>
          <w:color w:val="auto"/>
          <w:spacing w:val="3"/>
          <w:szCs w:val="32"/>
          <w:u w:val="none"/>
        </w:rPr>
        <w:t>司法鉴定机构，鼓励和引导现有司法鉴定机构做大、做强、</w:t>
      </w:r>
      <w:r>
        <w:rPr>
          <w:rFonts w:hint="eastAsia" w:ascii="仿宋_GB2312" w:hAnsi="仿宋_GB2312" w:eastAsia="仿宋_GB2312" w:cs="仿宋_GB2312"/>
          <w:color w:val="auto"/>
          <w:spacing w:val="6"/>
          <w:szCs w:val="32"/>
          <w:u w:val="none"/>
        </w:rPr>
        <w:t>做精，提升司法鉴定行业的整体水平，推动建立高水平鉴定机构，形成江苏司法鉴定</w:t>
      </w:r>
      <w:r>
        <w:rPr>
          <w:rFonts w:hint="eastAsia" w:ascii="仿宋_GB2312" w:hAnsi="仿宋_GB2312" w:eastAsia="仿宋_GB2312" w:cs="仿宋_GB2312"/>
          <w:color w:val="auto"/>
          <w:spacing w:val="23"/>
          <w:szCs w:val="32"/>
          <w:u w:val="none"/>
        </w:rPr>
        <w:t>特色</w:t>
      </w:r>
      <w:r>
        <w:rPr>
          <w:rFonts w:hint="eastAsia" w:ascii="仿宋_GB2312" w:hAnsi="仿宋_GB2312" w:eastAsia="仿宋_GB2312" w:cs="仿宋_GB2312"/>
          <w:color w:val="auto"/>
          <w:spacing w:val="6"/>
          <w:szCs w:val="32"/>
          <w:u w:val="none"/>
        </w:rPr>
        <w:t>品</w:t>
      </w:r>
      <w:r>
        <w:rPr>
          <w:rFonts w:hint="eastAsia" w:ascii="仿宋_GB2312" w:hAnsi="仿宋_GB2312" w:eastAsia="仿宋_GB2312" w:cs="仿宋_GB2312"/>
          <w:color w:val="auto"/>
          <w:spacing w:val="23"/>
          <w:szCs w:val="32"/>
          <w:u w:val="none"/>
        </w:rPr>
        <w:t>牌。</w:t>
      </w:r>
    </w:p>
    <w:p w14:paraId="5B059E44">
      <w:pPr>
        <w:ind w:left="688"/>
        <w:outlineLvl w:val="2"/>
        <w:rPr>
          <w:rFonts w:ascii="黑体" w:hAnsi="黑体" w:eastAsia="黑体" w:cs="黑体"/>
          <w:color w:val="auto"/>
          <w:spacing w:val="2"/>
          <w:szCs w:val="32"/>
          <w:u w:val="none"/>
        </w:rPr>
      </w:pPr>
      <w:r>
        <w:rPr>
          <w:rFonts w:hint="eastAsia" w:ascii="黑体" w:hAnsi="黑体" w:eastAsia="黑体" w:cs="黑体"/>
          <w:color w:val="auto"/>
          <w:spacing w:val="2"/>
          <w:szCs w:val="32"/>
          <w:u w:val="none"/>
        </w:rPr>
        <w:t>三、主要内容</w:t>
      </w:r>
    </w:p>
    <w:p w14:paraId="486F8EBF">
      <w:pPr>
        <w:ind w:left="54" w:right="254" w:firstLine="634"/>
        <w:rPr>
          <w:rFonts w:hint="eastAsia" w:ascii="仿宋_GB2312" w:hAnsi="仿宋_GB2312" w:eastAsia="仿宋_GB2312" w:cs="仿宋_GB2312"/>
          <w:color w:val="auto"/>
          <w:kern w:val="0"/>
          <w:szCs w:val="32"/>
          <w:u w:val="none"/>
          <w:lang w:eastAsia="zh-CN"/>
        </w:rPr>
      </w:pPr>
      <w:r>
        <w:rPr>
          <w:rFonts w:hint="eastAsia" w:ascii="仿宋_GB2312" w:hAnsi="仿宋_GB2312" w:eastAsia="仿宋_GB2312" w:cs="仿宋_GB2312"/>
          <w:color w:val="auto"/>
          <w:kern w:val="0"/>
          <w:szCs w:val="32"/>
          <w:u w:val="none"/>
          <w:lang w:eastAsia="zh-CN"/>
        </w:rPr>
        <w:t>全省司法鉴定登记管理工作要</w:t>
      </w:r>
      <w:r>
        <w:rPr>
          <w:rFonts w:hint="eastAsia" w:ascii="仿宋_GB2312" w:hAnsi="仿宋" w:eastAsia="仿宋_GB2312"/>
          <w:color w:val="auto"/>
          <w:szCs w:val="32"/>
          <w:u w:val="none"/>
          <w:lang w:val="en-US" w:eastAsia="zh-CN"/>
        </w:rPr>
        <w:t>根据经济社会发展阶段性特点严把准入关</w:t>
      </w:r>
      <w:r>
        <w:rPr>
          <w:rFonts w:hint="eastAsia" w:ascii="仿宋_GB2312" w:hAnsi="仿宋_GB2312" w:eastAsia="仿宋_GB2312" w:cs="仿宋_GB2312"/>
          <w:color w:val="auto"/>
          <w:kern w:val="0"/>
          <w:szCs w:val="32"/>
          <w:u w:val="none"/>
        </w:rPr>
        <w:t>，</w:t>
      </w:r>
      <w:r>
        <w:rPr>
          <w:rFonts w:hint="eastAsia" w:ascii="仿宋_GB2312" w:hAnsi="仿宋_GB2312" w:eastAsia="仿宋_GB2312" w:cs="仿宋_GB2312"/>
          <w:color w:val="auto"/>
          <w:kern w:val="0"/>
          <w:szCs w:val="32"/>
          <w:u w:val="none"/>
          <w:lang w:eastAsia="zh-CN"/>
        </w:rPr>
        <w:t>重点在完善业务结构、提质增效上下功夫，支持各地</w:t>
      </w:r>
      <w:r>
        <w:rPr>
          <w:rFonts w:hint="eastAsia" w:ascii="仿宋_GB2312" w:hAnsi="仿宋_GB2312" w:eastAsia="仿宋_GB2312" w:cs="仿宋_GB2312"/>
          <w:color w:val="auto"/>
          <w:kern w:val="0"/>
          <w:szCs w:val="32"/>
          <w:u w:val="none"/>
        </w:rPr>
        <w:t>完善业务结构</w:t>
      </w:r>
      <w:r>
        <w:rPr>
          <w:rFonts w:hint="eastAsia" w:ascii="仿宋_GB2312" w:hAnsi="仿宋_GB2312" w:eastAsia="仿宋_GB2312" w:cs="仿宋_GB2312"/>
          <w:color w:val="auto"/>
          <w:kern w:val="0"/>
          <w:szCs w:val="32"/>
          <w:u w:val="none"/>
          <w:lang w:eastAsia="zh-CN"/>
        </w:rPr>
        <w:t>，</w:t>
      </w:r>
      <w:r>
        <w:rPr>
          <w:rFonts w:hint="eastAsia" w:ascii="仿宋_GB2312" w:hAnsi="仿宋_GB2312" w:eastAsia="仿宋_GB2312" w:cs="仿宋_GB2312"/>
          <w:color w:val="auto"/>
          <w:kern w:val="0"/>
          <w:szCs w:val="32"/>
          <w:u w:val="none"/>
        </w:rPr>
        <w:t>填补空白</w:t>
      </w:r>
      <w:r>
        <w:rPr>
          <w:rFonts w:hint="eastAsia" w:ascii="仿宋_GB2312" w:hAnsi="仿宋_GB2312" w:eastAsia="仿宋_GB2312" w:cs="仿宋_GB2312"/>
          <w:color w:val="auto"/>
          <w:kern w:val="0"/>
          <w:szCs w:val="32"/>
          <w:u w:val="none"/>
          <w:lang w:val="en-US" w:eastAsia="zh-CN"/>
        </w:rPr>
        <w:t>领域</w:t>
      </w:r>
      <w:r>
        <w:rPr>
          <w:rFonts w:hint="eastAsia" w:ascii="仿宋_GB2312" w:hAnsi="仿宋_GB2312" w:eastAsia="仿宋_GB2312" w:cs="仿宋_GB2312"/>
          <w:color w:val="auto"/>
          <w:kern w:val="0"/>
          <w:szCs w:val="32"/>
          <w:u w:val="none"/>
          <w:lang w:eastAsia="zh-CN"/>
        </w:rPr>
        <w:t>，</w:t>
      </w:r>
      <w:r>
        <w:rPr>
          <w:rFonts w:hint="eastAsia" w:ascii="仿宋_GB2312" w:hAnsi="仿宋_GB2312" w:eastAsia="仿宋_GB2312" w:cs="仿宋_GB2312"/>
          <w:color w:val="auto"/>
          <w:kern w:val="0"/>
          <w:szCs w:val="32"/>
          <w:u w:val="none"/>
          <w:lang w:val="en-US" w:eastAsia="zh-CN"/>
        </w:rPr>
        <w:t>加强</w:t>
      </w:r>
      <w:r>
        <w:rPr>
          <w:rFonts w:hint="eastAsia" w:ascii="仿宋_GB2312" w:hAnsi="仿宋_GB2312" w:eastAsia="仿宋_GB2312" w:cs="仿宋_GB2312"/>
          <w:color w:val="auto"/>
          <w:kern w:val="0"/>
          <w:szCs w:val="32"/>
          <w:u w:val="none"/>
        </w:rPr>
        <w:t>高水平</w:t>
      </w:r>
      <w:r>
        <w:rPr>
          <w:rFonts w:hint="eastAsia" w:ascii="仿宋_GB2312" w:hAnsi="仿宋_GB2312" w:eastAsia="仿宋_GB2312" w:cs="仿宋_GB2312"/>
          <w:color w:val="auto"/>
          <w:kern w:val="0"/>
          <w:szCs w:val="32"/>
          <w:u w:val="none"/>
          <w:lang w:eastAsia="zh-CN"/>
        </w:rPr>
        <w:t>、</w:t>
      </w:r>
      <w:r>
        <w:rPr>
          <w:rFonts w:hint="eastAsia" w:ascii="仿宋_GB2312" w:hAnsi="仿宋_GB2312" w:eastAsia="仿宋_GB2312" w:cs="仿宋_GB2312"/>
          <w:color w:val="auto"/>
          <w:kern w:val="0"/>
          <w:szCs w:val="32"/>
          <w:u w:val="none"/>
          <w:lang w:val="en-US" w:eastAsia="zh-CN"/>
        </w:rPr>
        <w:t>高资质</w:t>
      </w:r>
      <w:r>
        <w:rPr>
          <w:rFonts w:hint="eastAsia" w:ascii="仿宋_GB2312" w:hAnsi="仿宋_GB2312" w:eastAsia="仿宋_GB2312" w:cs="仿宋_GB2312"/>
          <w:color w:val="auto"/>
          <w:kern w:val="0"/>
          <w:szCs w:val="32"/>
          <w:u w:val="none"/>
        </w:rPr>
        <w:t>鉴定机构</w:t>
      </w:r>
      <w:r>
        <w:rPr>
          <w:rFonts w:hint="eastAsia" w:ascii="仿宋_GB2312" w:hAnsi="仿宋_GB2312" w:eastAsia="仿宋_GB2312" w:cs="仿宋_GB2312"/>
          <w:color w:val="auto"/>
          <w:kern w:val="0"/>
          <w:szCs w:val="32"/>
          <w:u w:val="none"/>
          <w:lang w:val="en-US" w:eastAsia="zh-CN"/>
        </w:rPr>
        <w:t>建设</w:t>
      </w:r>
      <w:r>
        <w:rPr>
          <w:rFonts w:hint="eastAsia" w:ascii="仿宋_GB2312" w:hAnsi="仿宋_GB2312" w:eastAsia="仿宋_GB2312" w:cs="仿宋_GB2312"/>
          <w:color w:val="auto"/>
          <w:kern w:val="0"/>
          <w:szCs w:val="32"/>
          <w:u w:val="none"/>
          <w:lang w:eastAsia="zh-CN"/>
        </w:rPr>
        <w:t>，</w:t>
      </w:r>
      <w:r>
        <w:rPr>
          <w:rFonts w:hint="eastAsia" w:ascii="仿宋_GB2312" w:hAnsi="仿宋_GB2312" w:eastAsia="仿宋_GB2312" w:cs="仿宋_GB2312"/>
          <w:color w:val="auto"/>
          <w:kern w:val="0"/>
          <w:szCs w:val="32"/>
          <w:u w:val="none"/>
          <w:lang w:val="en-US" w:eastAsia="zh-CN"/>
        </w:rPr>
        <w:t>鼓励高水平公立鉴定机构建设，</w:t>
      </w:r>
      <w:r>
        <w:rPr>
          <w:rFonts w:hint="eastAsia" w:ascii="仿宋_GB2312" w:hAnsi="仿宋_GB2312" w:eastAsia="仿宋_GB2312" w:cs="仿宋_GB2312"/>
          <w:color w:val="auto"/>
          <w:kern w:val="0"/>
          <w:szCs w:val="32"/>
          <w:u w:val="none"/>
          <w:lang w:eastAsia="zh-CN"/>
        </w:rPr>
        <w:t>推动司法鉴定服务能力整体提升。具体如下：</w:t>
      </w:r>
    </w:p>
    <w:p w14:paraId="60D50191">
      <w:pPr>
        <w:ind w:left="54" w:right="254" w:firstLine="634"/>
        <w:rPr>
          <w:rFonts w:ascii="仿宋_GB2312" w:hAnsi="仿宋_GB2312" w:eastAsia="仿宋_GB2312" w:cs="仿宋_GB2312"/>
          <w:color w:val="auto"/>
          <w:kern w:val="0"/>
          <w:szCs w:val="32"/>
          <w:u w:val="none"/>
        </w:rPr>
      </w:pPr>
      <w:r>
        <w:rPr>
          <w:rFonts w:hint="eastAsia" w:ascii="楷体_GB2312" w:hAnsi="楷体_GB2312" w:eastAsia="楷体_GB2312" w:cs="楷体_GB2312"/>
          <w:color w:val="auto"/>
          <w:kern w:val="0"/>
          <w:sz w:val="30"/>
          <w:szCs w:val="30"/>
          <w:u w:val="none"/>
        </w:rPr>
        <w:t>1.</w:t>
      </w:r>
      <w:r>
        <w:rPr>
          <w:rFonts w:hint="eastAsia" w:ascii="楷体_GB2312" w:hAnsi="楷体_GB2312" w:eastAsia="楷体_GB2312" w:cs="楷体_GB2312"/>
          <w:color w:val="auto"/>
          <w:kern w:val="0"/>
          <w:sz w:val="32"/>
          <w:szCs w:val="32"/>
          <w:u w:val="none"/>
          <w:lang w:val="en-US" w:eastAsia="zh-CN" w:bidi="ar-SA"/>
        </w:rPr>
        <w:t>控量提质优化法医类鉴定机构</w:t>
      </w:r>
      <w:r>
        <w:rPr>
          <w:rFonts w:hint="eastAsia" w:ascii="仿宋_GB2312" w:hAnsi="仿宋_GB2312" w:eastAsia="仿宋_GB2312" w:cs="仿宋_GB2312"/>
          <w:color w:val="auto"/>
          <w:kern w:val="0"/>
          <w:szCs w:val="32"/>
          <w:u w:val="none"/>
        </w:rPr>
        <w:t>。机构数量保持动态平衡和适度精简，</w:t>
      </w:r>
      <w:r>
        <w:rPr>
          <w:rFonts w:hint="eastAsia" w:ascii="仿宋_GB2312" w:hAnsi="仿宋_GB2312" w:eastAsia="仿宋_GB2312" w:cs="仿宋_GB2312"/>
          <w:color w:val="auto"/>
          <w:kern w:val="0"/>
          <w:szCs w:val="32"/>
          <w:u w:val="none"/>
          <w:lang w:val="en-US" w:eastAsia="zh-CN"/>
        </w:rPr>
        <w:t>原则上</w:t>
      </w:r>
      <w:r>
        <w:rPr>
          <w:rFonts w:hint="eastAsia" w:ascii="仿宋_GB2312" w:hAnsi="仿宋_GB2312" w:eastAsia="仿宋_GB2312" w:cs="仿宋_GB2312"/>
          <w:color w:val="auto"/>
          <w:spacing w:val="5"/>
          <w:szCs w:val="32"/>
          <w:u w:val="none"/>
        </w:rPr>
        <w:t>在现有领域机构没有减少的情况下</w:t>
      </w:r>
      <w:r>
        <w:rPr>
          <w:rFonts w:hint="eastAsia" w:ascii="仿宋_GB2312" w:hAnsi="仿宋_GB2312" w:eastAsia="仿宋_GB2312" w:cs="仿宋_GB2312"/>
          <w:color w:val="auto"/>
          <w:spacing w:val="5"/>
          <w:szCs w:val="32"/>
          <w:u w:val="none"/>
          <w:lang w:val="en-US" w:eastAsia="zh-CN"/>
        </w:rPr>
        <w:t>控制</w:t>
      </w:r>
      <w:r>
        <w:rPr>
          <w:rFonts w:hint="eastAsia" w:ascii="仿宋_GB2312" w:hAnsi="仿宋" w:eastAsia="仿宋_GB2312"/>
          <w:color w:val="auto"/>
          <w:sz w:val="32"/>
          <w:szCs w:val="32"/>
          <w:u w:val="none"/>
        </w:rPr>
        <w:t>发展</w:t>
      </w:r>
      <w:r>
        <w:rPr>
          <w:rFonts w:hint="eastAsia" w:ascii="仿宋_GB2312" w:hAnsi="仿宋" w:eastAsia="仿宋_GB2312"/>
          <w:color w:val="auto"/>
          <w:sz w:val="32"/>
          <w:szCs w:val="32"/>
          <w:u w:val="none"/>
          <w:lang w:val="en-US" w:eastAsia="zh-CN"/>
        </w:rPr>
        <w:t>法医类</w:t>
      </w:r>
      <w:r>
        <w:rPr>
          <w:rFonts w:hint="eastAsia" w:ascii="仿宋_GB2312" w:hAnsi="仿宋_GB2312" w:eastAsia="仿宋_GB2312" w:cs="仿宋_GB2312"/>
          <w:color w:val="auto"/>
          <w:spacing w:val="5"/>
          <w:szCs w:val="32"/>
          <w:u w:val="none"/>
          <w:lang w:val="en-US" w:eastAsia="zh-CN"/>
        </w:rPr>
        <w:t>机构</w:t>
      </w:r>
      <w:r>
        <w:rPr>
          <w:rFonts w:hint="eastAsia" w:ascii="仿宋_GB2312" w:hAnsi="仿宋_GB2312" w:eastAsia="仿宋_GB2312" w:cs="仿宋_GB2312"/>
          <w:color w:val="auto"/>
          <w:spacing w:val="5"/>
          <w:szCs w:val="32"/>
          <w:u w:val="none"/>
        </w:rPr>
        <w:t>。</w:t>
      </w:r>
      <w:r>
        <w:rPr>
          <w:rFonts w:hint="eastAsia" w:ascii="仿宋_GB2312" w:hAnsi="仿宋_GB2312" w:eastAsia="仿宋_GB2312" w:cs="仿宋_GB2312"/>
          <w:color w:val="auto"/>
          <w:kern w:val="0"/>
          <w:szCs w:val="32"/>
          <w:u w:val="none"/>
        </w:rPr>
        <w:t>重点在推动高水平机构发展、拓展法医类鉴定分领域和引进法医专业人才等方面加强支持，推进法医类鉴定集约化、高质量发展。在法医临床、病理、物证、毒物领域，</w:t>
      </w:r>
      <w:r>
        <w:rPr>
          <w:rFonts w:hint="eastAsia" w:ascii="仿宋_GB2312" w:hAnsi="仿宋_GB2312" w:eastAsia="仿宋_GB2312" w:cs="仿宋_GB2312"/>
          <w:color w:val="auto"/>
          <w:spacing w:val="5"/>
          <w:szCs w:val="32"/>
          <w:u w:val="none"/>
          <w:lang w:val="en-US" w:eastAsia="zh-CN"/>
        </w:rPr>
        <w:t>鼓励全省范围内具有较强法医鉴定能力水平的法人或组织</w:t>
      </w:r>
      <w:r>
        <w:rPr>
          <w:rFonts w:hint="eastAsia" w:ascii="仿宋_GB2312" w:hAnsi="仿宋_GB2312" w:eastAsia="仿宋_GB2312" w:cs="仿宋_GB2312"/>
          <w:color w:val="auto"/>
          <w:kern w:val="0"/>
          <w:szCs w:val="32"/>
          <w:u w:val="none"/>
          <w:lang w:val="en-US" w:eastAsia="zh-CN"/>
        </w:rPr>
        <w:t>发展高水平、高资质鉴定机构；</w:t>
      </w:r>
      <w:r>
        <w:rPr>
          <w:rFonts w:hint="eastAsia" w:ascii="仿宋_GB2312" w:hAnsi="仿宋_GB2312" w:eastAsia="仿宋_GB2312" w:cs="仿宋_GB2312"/>
          <w:color w:val="auto"/>
          <w:spacing w:val="5"/>
          <w:szCs w:val="32"/>
          <w:u w:val="none"/>
        </w:rPr>
        <w:t>在法医精神病领域，</w:t>
      </w:r>
      <w:r>
        <w:rPr>
          <w:rFonts w:hint="eastAsia" w:ascii="仿宋_GB2312" w:hAnsi="仿宋_GB2312" w:eastAsia="仿宋_GB2312" w:cs="仿宋_GB2312"/>
          <w:color w:val="auto"/>
          <w:spacing w:val="5"/>
          <w:szCs w:val="32"/>
          <w:u w:val="none"/>
          <w:lang w:val="en-US" w:eastAsia="zh-CN"/>
        </w:rPr>
        <w:t>支持</w:t>
      </w:r>
      <w:r>
        <w:rPr>
          <w:rFonts w:hint="eastAsia" w:ascii="仿宋_GB2312" w:hAnsi="仿宋_GB2312" w:eastAsia="仿宋_GB2312" w:cs="仿宋_GB2312"/>
          <w:color w:val="auto"/>
          <w:kern w:val="0"/>
          <w:szCs w:val="32"/>
          <w:u w:val="none"/>
        </w:rPr>
        <w:t>精神病专科医院增设刑事或民事行为能力鉴定分领域机构。</w:t>
      </w:r>
    </w:p>
    <w:p w14:paraId="7E1430C2">
      <w:pPr>
        <w:ind w:left="54" w:right="254" w:firstLine="634"/>
        <w:rPr>
          <w:rFonts w:ascii="仿宋_GB2312" w:hAnsi="仿宋_GB2312" w:eastAsia="仿宋_GB2312" w:cs="仿宋_GB2312"/>
          <w:color w:val="auto"/>
          <w:kern w:val="0"/>
          <w:szCs w:val="32"/>
          <w:u w:val="none"/>
        </w:rPr>
      </w:pPr>
      <w:r>
        <w:rPr>
          <w:rFonts w:hint="eastAsia" w:ascii="楷体_GB2312" w:hAnsi="楷体_GB2312" w:eastAsia="楷体_GB2312" w:cs="楷体_GB2312"/>
          <w:color w:val="auto"/>
          <w:kern w:val="0"/>
          <w:szCs w:val="32"/>
          <w:u w:val="none"/>
        </w:rPr>
        <w:t>2.</w:t>
      </w:r>
      <w:r>
        <w:rPr>
          <w:rFonts w:hint="eastAsia" w:ascii="楷体_GB2312" w:hAnsi="楷体_GB2312" w:eastAsia="楷体_GB2312" w:cs="楷体_GB2312"/>
          <w:color w:val="auto"/>
          <w:kern w:val="0"/>
          <w:sz w:val="32"/>
          <w:szCs w:val="32"/>
          <w:u w:val="none"/>
          <w:lang w:val="en-US" w:eastAsia="zh-CN" w:bidi="ar-SA"/>
        </w:rPr>
        <w:t>均衡有序发展</w:t>
      </w:r>
      <w:r>
        <w:rPr>
          <w:rFonts w:hint="eastAsia" w:ascii="楷体_GB2312" w:hAnsi="楷体_GB2312" w:eastAsia="楷体_GB2312" w:cs="楷体_GB2312"/>
          <w:color w:val="auto"/>
          <w:kern w:val="0"/>
          <w:szCs w:val="32"/>
          <w:u w:val="none"/>
        </w:rPr>
        <w:t>物证类鉴定</w:t>
      </w:r>
      <w:r>
        <w:rPr>
          <w:rFonts w:hint="eastAsia" w:ascii="楷体_GB2312" w:hAnsi="楷体_GB2312" w:eastAsia="楷体_GB2312" w:cs="楷体_GB2312"/>
          <w:color w:val="auto"/>
          <w:kern w:val="0"/>
          <w:szCs w:val="32"/>
          <w:u w:val="none"/>
          <w:lang w:val="en-US" w:eastAsia="zh-CN"/>
        </w:rPr>
        <w:t>机构</w:t>
      </w:r>
      <w:r>
        <w:rPr>
          <w:rFonts w:hint="eastAsia" w:ascii="楷体_GB2312" w:hAnsi="楷体_GB2312" w:eastAsia="楷体_GB2312" w:cs="楷体_GB2312"/>
          <w:color w:val="auto"/>
          <w:kern w:val="0"/>
          <w:szCs w:val="32"/>
          <w:u w:val="none"/>
        </w:rPr>
        <w:t>。</w:t>
      </w:r>
      <w:r>
        <w:rPr>
          <w:rFonts w:hint="eastAsia" w:ascii="仿宋_GB2312" w:hAnsi="仿宋_GB2312" w:eastAsia="仿宋_GB2312" w:cs="仿宋_GB2312"/>
          <w:color w:val="auto"/>
          <w:kern w:val="0"/>
          <w:szCs w:val="32"/>
          <w:u w:val="none"/>
        </w:rPr>
        <w:t>总量控制物证鉴定</w:t>
      </w:r>
      <w:r>
        <w:rPr>
          <w:rFonts w:hint="eastAsia" w:ascii="仿宋_GB2312" w:hAnsi="仿宋_GB2312" w:eastAsia="仿宋_GB2312" w:cs="仿宋_GB2312"/>
          <w:color w:val="auto"/>
          <w:kern w:val="0"/>
          <w:szCs w:val="32"/>
          <w:u w:val="none"/>
          <w:lang w:val="en-US" w:eastAsia="zh-CN"/>
        </w:rPr>
        <w:t>类机构</w:t>
      </w:r>
      <w:r>
        <w:rPr>
          <w:rFonts w:hint="eastAsia" w:ascii="仿宋_GB2312" w:hAnsi="仿宋_GB2312" w:eastAsia="仿宋_GB2312" w:cs="仿宋_GB2312"/>
          <w:color w:val="auto"/>
          <w:kern w:val="0"/>
          <w:szCs w:val="32"/>
          <w:u w:val="none"/>
        </w:rPr>
        <w:t>，重点引导和支持司法鉴定机构高标准发展相关分领域鉴定。</w:t>
      </w:r>
      <w:r>
        <w:rPr>
          <w:rFonts w:hint="eastAsia" w:ascii="仿宋_GB2312" w:hAnsi="仿宋_GB2312" w:eastAsia="仿宋_GB2312" w:cs="仿宋_GB2312"/>
          <w:color w:val="auto"/>
          <w:kern w:val="0"/>
          <w:szCs w:val="32"/>
          <w:u w:val="none"/>
          <w:lang w:eastAsia="zh-CN"/>
        </w:rPr>
        <w:t>鼓励</w:t>
      </w:r>
      <w:r>
        <w:rPr>
          <w:rFonts w:hint="eastAsia" w:ascii="仿宋_GB2312" w:hAnsi="仿宋_GB2312" w:eastAsia="仿宋_GB2312" w:cs="仿宋_GB2312"/>
          <w:color w:val="auto"/>
          <w:kern w:val="0"/>
          <w:szCs w:val="32"/>
          <w:u w:val="none"/>
        </w:rPr>
        <w:t>高水平院校、科研院所</w:t>
      </w:r>
      <w:r>
        <w:rPr>
          <w:rFonts w:hint="eastAsia" w:ascii="仿宋_GB2312" w:hAnsi="仿宋_GB2312" w:eastAsia="仿宋_GB2312" w:cs="仿宋_GB2312"/>
          <w:color w:val="auto"/>
          <w:kern w:val="0"/>
          <w:szCs w:val="32"/>
          <w:u w:val="none"/>
          <w:lang w:val="en-US" w:eastAsia="zh-CN"/>
        </w:rPr>
        <w:t>等</w:t>
      </w:r>
      <w:r>
        <w:rPr>
          <w:rFonts w:hint="eastAsia" w:ascii="仿宋_GB2312" w:hAnsi="仿宋_GB2312" w:eastAsia="仿宋_GB2312" w:cs="仿宋_GB2312"/>
          <w:color w:val="auto"/>
          <w:kern w:val="0"/>
          <w:szCs w:val="32"/>
          <w:u w:val="none"/>
          <w:lang w:eastAsia="zh-CN"/>
        </w:rPr>
        <w:t>优质技术资源</w:t>
      </w:r>
      <w:r>
        <w:rPr>
          <w:rFonts w:hint="eastAsia" w:ascii="仿宋_GB2312" w:hAnsi="仿宋_GB2312" w:eastAsia="仿宋_GB2312" w:cs="仿宋_GB2312"/>
          <w:color w:val="auto"/>
          <w:kern w:val="0"/>
          <w:szCs w:val="32"/>
          <w:u w:val="none"/>
        </w:rPr>
        <w:t>增设物证类</w:t>
      </w:r>
      <w:r>
        <w:rPr>
          <w:rFonts w:hint="eastAsia" w:ascii="仿宋_GB2312" w:hAnsi="仿宋_GB2312" w:eastAsia="仿宋_GB2312" w:cs="仿宋_GB2312"/>
          <w:color w:val="auto"/>
          <w:kern w:val="0"/>
          <w:szCs w:val="32"/>
          <w:u w:val="none"/>
          <w:lang w:eastAsia="zh-CN"/>
        </w:rPr>
        <w:t>。</w:t>
      </w:r>
      <w:r>
        <w:rPr>
          <w:rFonts w:hint="eastAsia" w:ascii="仿宋_GB2312" w:hAnsi="仿宋_GB2312" w:eastAsia="仿宋_GB2312" w:cs="仿宋_GB2312"/>
          <w:color w:val="auto"/>
          <w:kern w:val="0"/>
          <w:szCs w:val="32"/>
          <w:u w:val="none"/>
        </w:rPr>
        <w:t>在痕迹领域，</w:t>
      </w:r>
      <w:r>
        <w:rPr>
          <w:rFonts w:hint="eastAsia" w:ascii="仿宋_GB2312" w:hAnsi="仿宋_GB2312" w:eastAsia="仿宋_GB2312" w:cs="仿宋_GB2312"/>
          <w:color w:val="auto"/>
          <w:spacing w:val="5"/>
          <w:szCs w:val="32"/>
          <w:u w:val="none"/>
        </w:rPr>
        <w:t>在现有领域没有减少的情况</w:t>
      </w:r>
      <w:r>
        <w:rPr>
          <w:rFonts w:hint="eastAsia" w:ascii="仿宋_GB2312" w:hAnsi="仿宋_GB2312" w:eastAsia="仿宋_GB2312" w:cs="仿宋_GB2312"/>
          <w:color w:val="auto"/>
          <w:spacing w:val="5"/>
          <w:szCs w:val="32"/>
          <w:u w:val="none"/>
          <w:lang w:val="en-US" w:eastAsia="zh-CN"/>
        </w:rPr>
        <w:t>控制</w:t>
      </w:r>
      <w:r>
        <w:rPr>
          <w:rFonts w:hint="eastAsia" w:ascii="仿宋_GB2312" w:hAnsi="仿宋" w:eastAsia="仿宋_GB2312"/>
          <w:color w:val="auto"/>
          <w:sz w:val="32"/>
          <w:szCs w:val="32"/>
          <w:u w:val="none"/>
        </w:rPr>
        <w:t>新发展</w:t>
      </w:r>
      <w:r>
        <w:rPr>
          <w:rFonts w:hint="eastAsia" w:ascii="仿宋_GB2312" w:hAnsi="仿宋_GB2312" w:eastAsia="仿宋_GB2312" w:cs="仿宋_GB2312"/>
          <w:color w:val="auto"/>
          <w:spacing w:val="5"/>
          <w:szCs w:val="32"/>
          <w:u w:val="none"/>
          <w:lang w:val="en-US" w:eastAsia="zh-CN"/>
        </w:rPr>
        <w:t>机构</w:t>
      </w:r>
      <w:r>
        <w:rPr>
          <w:rFonts w:hint="eastAsia" w:ascii="仿宋_GB2312" w:hAnsi="仿宋_GB2312" w:eastAsia="仿宋_GB2312" w:cs="仿宋_GB2312"/>
          <w:color w:val="auto"/>
          <w:kern w:val="0"/>
          <w:szCs w:val="32"/>
          <w:u w:val="none"/>
        </w:rPr>
        <w:t>；</w:t>
      </w:r>
      <w:r>
        <w:rPr>
          <w:rFonts w:hint="eastAsia" w:ascii="仿宋_GB2312" w:hAnsi="仿宋_GB2312" w:eastAsia="仿宋_GB2312" w:cs="仿宋_GB2312"/>
          <w:color w:val="auto"/>
          <w:kern w:val="0"/>
          <w:szCs w:val="32"/>
          <w:u w:val="none"/>
          <w:lang w:eastAsia="zh-CN"/>
        </w:rPr>
        <w:t>在</w:t>
      </w:r>
      <w:r>
        <w:rPr>
          <w:rFonts w:hint="eastAsia" w:ascii="仿宋_GB2312" w:hAnsi="仿宋_GB2312" w:eastAsia="仿宋_GB2312" w:cs="仿宋_GB2312"/>
          <w:color w:val="auto"/>
          <w:kern w:val="0"/>
          <w:szCs w:val="32"/>
          <w:u w:val="none"/>
        </w:rPr>
        <w:t>文书</w:t>
      </w:r>
      <w:r>
        <w:rPr>
          <w:rFonts w:hint="eastAsia" w:ascii="仿宋_GB2312" w:hAnsi="仿宋_GB2312" w:eastAsia="仿宋_GB2312" w:cs="仿宋_GB2312"/>
          <w:color w:val="auto"/>
          <w:kern w:val="0"/>
          <w:szCs w:val="32"/>
          <w:u w:val="none"/>
          <w:lang w:eastAsia="zh-CN"/>
        </w:rPr>
        <w:t>领域，原则上</w:t>
      </w:r>
      <w:r>
        <w:rPr>
          <w:rFonts w:hint="eastAsia" w:ascii="仿宋_GB2312" w:hAnsi="仿宋_GB2312" w:eastAsia="仿宋_GB2312" w:cs="仿宋_GB2312"/>
          <w:color w:val="auto"/>
          <w:kern w:val="0"/>
          <w:szCs w:val="32"/>
          <w:u w:val="none"/>
          <w:lang w:val="en-US" w:eastAsia="zh-CN"/>
        </w:rPr>
        <w:t>从严控制发展</w:t>
      </w:r>
      <w:r>
        <w:rPr>
          <w:rFonts w:hint="eastAsia" w:ascii="仿宋_GB2312" w:hAnsi="仿宋_GB2312" w:eastAsia="仿宋_GB2312" w:cs="仿宋_GB2312"/>
          <w:color w:val="auto"/>
          <w:kern w:val="0"/>
          <w:szCs w:val="32"/>
          <w:u w:val="none"/>
        </w:rPr>
        <w:t>文书</w:t>
      </w:r>
      <w:r>
        <w:rPr>
          <w:rFonts w:hint="eastAsia" w:ascii="仿宋_GB2312" w:hAnsi="仿宋_GB2312" w:eastAsia="仿宋_GB2312" w:cs="仿宋_GB2312"/>
          <w:color w:val="auto"/>
          <w:kern w:val="0"/>
          <w:szCs w:val="32"/>
          <w:u w:val="none"/>
          <w:lang w:val="en-US" w:eastAsia="zh-CN"/>
        </w:rPr>
        <w:t>鉴定</w:t>
      </w:r>
      <w:r>
        <w:rPr>
          <w:rFonts w:hint="eastAsia" w:ascii="仿宋_GB2312" w:hAnsi="仿宋_GB2312" w:eastAsia="仿宋_GB2312" w:cs="仿宋_GB2312"/>
          <w:color w:val="auto"/>
          <w:kern w:val="0"/>
          <w:szCs w:val="32"/>
          <w:u w:val="none"/>
        </w:rPr>
        <w:t>机构；在微量领域</w:t>
      </w:r>
      <w:r>
        <w:rPr>
          <w:rFonts w:hint="eastAsia" w:ascii="仿宋_GB2312" w:hAnsi="仿宋_GB2312" w:eastAsia="仿宋_GB2312" w:cs="仿宋_GB2312"/>
          <w:color w:val="auto"/>
          <w:kern w:val="0"/>
          <w:szCs w:val="32"/>
          <w:u w:val="none"/>
          <w:lang w:eastAsia="zh-CN"/>
        </w:rPr>
        <w:t>，</w:t>
      </w:r>
      <w:r>
        <w:rPr>
          <w:rFonts w:hint="eastAsia" w:ascii="仿宋_GB2312" w:hAnsi="仿宋_GB2312" w:eastAsia="仿宋_GB2312" w:cs="仿宋_GB2312"/>
          <w:color w:val="auto"/>
          <w:kern w:val="0"/>
          <w:szCs w:val="32"/>
          <w:u w:val="none"/>
          <w:lang w:val="en-US" w:eastAsia="zh-CN"/>
        </w:rPr>
        <w:t>支持鼓励非</w:t>
      </w:r>
      <w:r>
        <w:rPr>
          <w:rFonts w:hint="eastAsia" w:ascii="仿宋_GB2312" w:hAnsi="仿宋_GB2312" w:eastAsia="仿宋_GB2312" w:cs="仿宋_GB2312"/>
          <w:color w:val="auto"/>
          <w:kern w:val="0"/>
          <w:szCs w:val="32"/>
          <w:u w:val="none"/>
        </w:rPr>
        <w:t>建设工程相关背景</w:t>
      </w:r>
      <w:r>
        <w:rPr>
          <w:rFonts w:hint="eastAsia" w:ascii="仿宋_GB2312" w:hAnsi="仿宋_GB2312" w:eastAsia="仿宋_GB2312" w:cs="仿宋_GB2312"/>
          <w:color w:val="auto"/>
          <w:kern w:val="0"/>
          <w:szCs w:val="32"/>
          <w:u w:val="none"/>
          <w:lang w:val="en-US" w:eastAsia="zh-CN"/>
        </w:rPr>
        <w:t>的企业设立发展</w:t>
      </w:r>
      <w:r>
        <w:rPr>
          <w:rFonts w:hint="eastAsia" w:ascii="仿宋_GB2312" w:hAnsi="仿宋_GB2312" w:eastAsia="仿宋_GB2312" w:cs="仿宋_GB2312"/>
          <w:color w:val="auto"/>
          <w:kern w:val="0"/>
          <w:szCs w:val="32"/>
          <w:u w:val="none"/>
        </w:rPr>
        <w:t>4项分领域</w:t>
      </w:r>
      <w:r>
        <w:rPr>
          <w:rFonts w:hint="eastAsia" w:ascii="仿宋_GB2312" w:hAnsi="仿宋_GB2312" w:eastAsia="仿宋_GB2312" w:cs="仿宋_GB2312"/>
          <w:color w:val="auto"/>
          <w:kern w:val="0"/>
          <w:szCs w:val="32"/>
          <w:u w:val="none"/>
          <w:lang w:val="en-US" w:eastAsia="zh-CN"/>
        </w:rPr>
        <w:t>以上的机构</w:t>
      </w:r>
      <w:r>
        <w:rPr>
          <w:rFonts w:hint="eastAsia" w:ascii="仿宋_GB2312" w:hAnsi="仿宋_GB2312" w:eastAsia="仿宋_GB2312" w:cs="仿宋_GB2312"/>
          <w:color w:val="auto"/>
          <w:kern w:val="0"/>
          <w:szCs w:val="32"/>
          <w:u w:val="none"/>
        </w:rPr>
        <w:t>。</w:t>
      </w:r>
    </w:p>
    <w:p w14:paraId="33201CB9">
      <w:pPr>
        <w:ind w:left="54" w:right="254" w:firstLine="634"/>
        <w:rPr>
          <w:rFonts w:hint="eastAsia" w:ascii="仿宋_GB2312" w:hAnsi="仿宋_GB2312" w:eastAsia="仿宋_GB2312" w:cs="仿宋_GB2312"/>
          <w:color w:val="auto"/>
          <w:kern w:val="0"/>
          <w:szCs w:val="32"/>
          <w:u w:val="none"/>
          <w:lang w:eastAsia="zh-CN"/>
        </w:rPr>
      </w:pPr>
      <w:r>
        <w:rPr>
          <w:rFonts w:hint="eastAsia" w:ascii="楷体_GB2312" w:hAnsi="楷体_GB2312" w:eastAsia="楷体_GB2312" w:cs="楷体_GB2312"/>
          <w:color w:val="auto"/>
          <w:kern w:val="0"/>
          <w:szCs w:val="32"/>
          <w:u w:val="none"/>
        </w:rPr>
        <w:t>3.技术赋能声像资料鉴定机构</w:t>
      </w:r>
      <w:r>
        <w:rPr>
          <w:rFonts w:hint="eastAsia" w:ascii="楷体_GB2312" w:hAnsi="楷体_GB2312" w:eastAsia="楷体_GB2312" w:cs="楷体_GB2312"/>
          <w:color w:val="auto"/>
          <w:kern w:val="0"/>
          <w:sz w:val="32"/>
          <w:szCs w:val="32"/>
          <w:u w:val="none"/>
          <w:lang w:val="en-US" w:eastAsia="zh-CN" w:bidi="ar-SA"/>
        </w:rPr>
        <w:t>建设</w:t>
      </w:r>
      <w:r>
        <w:rPr>
          <w:rFonts w:hint="eastAsia" w:ascii="楷体_GB2312" w:hAnsi="楷体_GB2312" w:eastAsia="楷体_GB2312" w:cs="楷体_GB2312"/>
          <w:color w:val="auto"/>
          <w:kern w:val="0"/>
          <w:szCs w:val="32"/>
          <w:u w:val="none"/>
        </w:rPr>
        <w:t>。</w:t>
      </w:r>
      <w:r>
        <w:rPr>
          <w:rFonts w:hint="eastAsia" w:ascii="仿宋_GB2312" w:hAnsi="仿宋_GB2312" w:eastAsia="仿宋_GB2312" w:cs="仿宋_GB2312"/>
          <w:color w:val="auto"/>
          <w:kern w:val="0"/>
          <w:szCs w:val="32"/>
          <w:u w:val="none"/>
        </w:rPr>
        <w:t>在案件总量未出现持续性显著增长的前提下，</w:t>
      </w:r>
      <w:r>
        <w:rPr>
          <w:rFonts w:hint="eastAsia" w:ascii="仿宋_GB2312" w:hAnsi="仿宋_GB2312" w:eastAsia="仿宋_GB2312" w:cs="仿宋_GB2312"/>
          <w:color w:val="auto"/>
          <w:kern w:val="0"/>
          <w:szCs w:val="32"/>
          <w:u w:val="none"/>
          <w:lang w:eastAsia="zh-CN"/>
        </w:rPr>
        <w:t>从严控制</w:t>
      </w:r>
      <w:r>
        <w:rPr>
          <w:rFonts w:hint="eastAsia" w:ascii="仿宋_GB2312" w:hAnsi="仿宋_GB2312" w:eastAsia="仿宋_GB2312" w:cs="仿宋_GB2312"/>
          <w:color w:val="auto"/>
          <w:kern w:val="0"/>
          <w:szCs w:val="32"/>
          <w:u w:val="none"/>
          <w:lang w:val="en-US" w:eastAsia="zh-CN"/>
        </w:rPr>
        <w:t>发展</w:t>
      </w:r>
      <w:r>
        <w:rPr>
          <w:rFonts w:hint="eastAsia" w:ascii="仿宋_GB2312" w:hAnsi="仿宋_GB2312" w:eastAsia="仿宋_GB2312" w:cs="仿宋_GB2312"/>
          <w:color w:val="auto"/>
          <w:kern w:val="0"/>
          <w:szCs w:val="32"/>
          <w:u w:val="none"/>
        </w:rPr>
        <w:t>此类</w:t>
      </w:r>
      <w:r>
        <w:rPr>
          <w:rFonts w:hint="eastAsia" w:ascii="仿宋_GB2312" w:hAnsi="仿宋_GB2312" w:eastAsia="仿宋_GB2312" w:cs="仿宋_GB2312"/>
          <w:color w:val="auto"/>
          <w:kern w:val="0"/>
          <w:szCs w:val="32"/>
          <w:u w:val="none"/>
          <w:lang w:eastAsia="zh-CN"/>
        </w:rPr>
        <w:t>鉴定</w:t>
      </w:r>
      <w:r>
        <w:rPr>
          <w:rFonts w:hint="eastAsia" w:ascii="仿宋_GB2312" w:hAnsi="仿宋_GB2312" w:eastAsia="仿宋_GB2312" w:cs="仿宋_GB2312"/>
          <w:color w:val="auto"/>
          <w:kern w:val="0"/>
          <w:szCs w:val="32"/>
          <w:u w:val="none"/>
        </w:rPr>
        <w:t>机构。</w:t>
      </w:r>
      <w:r>
        <w:rPr>
          <w:rFonts w:hint="eastAsia" w:ascii="仿宋_GB2312" w:hAnsi="仿宋_GB2312" w:eastAsia="仿宋_GB2312" w:cs="仿宋_GB2312"/>
          <w:color w:val="auto"/>
          <w:kern w:val="0"/>
          <w:szCs w:val="32"/>
          <w:u w:val="none"/>
          <w:lang w:val="en-US" w:eastAsia="zh-CN"/>
        </w:rPr>
        <w:t>支持</w:t>
      </w:r>
      <w:r>
        <w:rPr>
          <w:rFonts w:hint="eastAsia" w:ascii="仿宋_GB2312" w:hAnsi="仿宋_GB2312" w:eastAsia="仿宋_GB2312" w:cs="仿宋_GB2312"/>
          <w:color w:val="auto"/>
          <w:kern w:val="0"/>
          <w:szCs w:val="32"/>
          <w:u w:val="none"/>
        </w:rPr>
        <w:t>在数据安全处理领域具有行业领军地位的大型科技公司设立</w:t>
      </w:r>
      <w:r>
        <w:rPr>
          <w:rFonts w:hint="eastAsia" w:ascii="仿宋_GB2312" w:hAnsi="仿宋_GB2312" w:eastAsia="仿宋_GB2312" w:cs="仿宋_GB2312"/>
          <w:color w:val="auto"/>
          <w:kern w:val="0"/>
          <w:szCs w:val="32"/>
          <w:u w:val="none"/>
          <w:lang w:val="en-US" w:eastAsia="zh-CN"/>
        </w:rPr>
        <w:t>高水平</w:t>
      </w:r>
      <w:r>
        <w:rPr>
          <w:rFonts w:hint="eastAsia" w:ascii="仿宋_GB2312" w:hAnsi="仿宋_GB2312" w:eastAsia="仿宋_GB2312" w:cs="仿宋_GB2312"/>
          <w:color w:val="auto"/>
          <w:kern w:val="0"/>
          <w:szCs w:val="32"/>
          <w:u w:val="none"/>
        </w:rPr>
        <w:t>鉴定机构</w:t>
      </w:r>
      <w:r>
        <w:rPr>
          <w:rFonts w:hint="eastAsia" w:ascii="仿宋_GB2312" w:hAnsi="仿宋_GB2312" w:eastAsia="仿宋_GB2312" w:cs="仿宋_GB2312"/>
          <w:color w:val="auto"/>
          <w:kern w:val="0"/>
          <w:szCs w:val="32"/>
          <w:u w:val="none"/>
          <w:lang w:eastAsia="zh-CN"/>
        </w:rPr>
        <w:t>。</w:t>
      </w:r>
      <w:r>
        <w:rPr>
          <w:rFonts w:hint="eastAsia" w:ascii="仿宋_GB2312" w:hAnsi="仿宋_GB2312" w:eastAsia="仿宋_GB2312" w:cs="仿宋_GB2312"/>
          <w:color w:val="auto"/>
          <w:kern w:val="0"/>
          <w:szCs w:val="32"/>
          <w:u w:val="none"/>
        </w:rPr>
        <w:t>重点引导和支持现有鉴定机构加强人才引进和项目建设，提升电子数据鉴定</w:t>
      </w:r>
      <w:r>
        <w:rPr>
          <w:rFonts w:hint="eastAsia" w:ascii="仿宋_GB2312" w:hAnsi="仿宋_GB2312" w:eastAsia="仿宋_GB2312" w:cs="仿宋_GB2312"/>
          <w:color w:val="auto"/>
          <w:kern w:val="0"/>
          <w:szCs w:val="32"/>
          <w:u w:val="none"/>
          <w:lang w:val="en-US" w:eastAsia="zh-CN"/>
        </w:rPr>
        <w:t>技术</w:t>
      </w:r>
      <w:r>
        <w:rPr>
          <w:rFonts w:hint="eastAsia" w:ascii="仿宋_GB2312" w:hAnsi="仿宋_GB2312" w:eastAsia="仿宋_GB2312" w:cs="仿宋_GB2312"/>
          <w:color w:val="auto"/>
          <w:kern w:val="0"/>
          <w:szCs w:val="32"/>
          <w:u w:val="none"/>
        </w:rPr>
        <w:t>能力</w:t>
      </w:r>
      <w:r>
        <w:rPr>
          <w:rFonts w:hint="eastAsia" w:ascii="仿宋_GB2312" w:hAnsi="仿宋_GB2312" w:eastAsia="仿宋_GB2312" w:cs="仿宋_GB2312"/>
          <w:color w:val="auto"/>
          <w:kern w:val="0"/>
          <w:szCs w:val="32"/>
          <w:u w:val="none"/>
          <w:lang w:val="en-US" w:eastAsia="zh-CN"/>
        </w:rPr>
        <w:t>和</w:t>
      </w:r>
      <w:r>
        <w:rPr>
          <w:rFonts w:hint="eastAsia" w:ascii="仿宋_GB2312" w:hAnsi="仿宋_GB2312" w:eastAsia="仿宋_GB2312" w:cs="仿宋_GB2312"/>
          <w:color w:val="auto"/>
          <w:kern w:val="0"/>
          <w:szCs w:val="32"/>
          <w:u w:val="none"/>
        </w:rPr>
        <w:t>业务水平。</w:t>
      </w:r>
    </w:p>
    <w:p w14:paraId="0C0D14A2">
      <w:pPr>
        <w:ind w:left="54" w:right="254" w:firstLine="634"/>
        <w:rPr>
          <w:rFonts w:ascii="仿宋_GB2312" w:hAnsi="仿宋_GB2312" w:eastAsia="仿宋_GB2312" w:cs="仿宋_GB2312"/>
          <w:color w:val="auto"/>
          <w:szCs w:val="32"/>
          <w:u w:val="none"/>
        </w:rPr>
      </w:pPr>
      <w:r>
        <w:rPr>
          <w:rFonts w:hint="eastAsia" w:ascii="楷体_GB2312" w:hAnsi="楷体_GB2312" w:eastAsia="楷体_GB2312" w:cs="楷体_GB2312"/>
          <w:color w:val="auto"/>
          <w:kern w:val="0"/>
          <w:szCs w:val="32"/>
          <w:u w:val="none"/>
        </w:rPr>
        <w:t>4.统筹</w:t>
      </w:r>
      <w:r>
        <w:rPr>
          <w:rFonts w:hint="eastAsia" w:ascii="楷体_GB2312" w:hAnsi="楷体_GB2312" w:eastAsia="楷体_GB2312" w:cs="楷体_GB2312"/>
          <w:color w:val="auto"/>
          <w:kern w:val="0"/>
          <w:szCs w:val="32"/>
          <w:u w:val="none"/>
          <w:lang w:eastAsia="zh-CN"/>
        </w:rPr>
        <w:t>规划</w:t>
      </w:r>
      <w:r>
        <w:rPr>
          <w:rFonts w:hint="eastAsia" w:ascii="楷体_GB2312" w:hAnsi="楷体_GB2312" w:eastAsia="楷体_GB2312" w:cs="楷体_GB2312"/>
          <w:color w:val="auto"/>
          <w:kern w:val="0"/>
          <w:szCs w:val="32"/>
          <w:u w:val="none"/>
        </w:rPr>
        <w:t>环境损害鉴定</w:t>
      </w:r>
      <w:r>
        <w:rPr>
          <w:rFonts w:hint="eastAsia" w:ascii="楷体_GB2312" w:hAnsi="楷体_GB2312" w:eastAsia="楷体_GB2312" w:cs="楷体_GB2312"/>
          <w:color w:val="auto"/>
          <w:kern w:val="0"/>
          <w:szCs w:val="32"/>
          <w:u w:val="none"/>
          <w:lang w:val="en-US" w:eastAsia="zh-CN"/>
        </w:rPr>
        <w:t>机构发展</w:t>
      </w:r>
      <w:r>
        <w:rPr>
          <w:rFonts w:hint="eastAsia" w:ascii="仿宋_GB2312" w:hAnsi="仿宋_GB2312" w:eastAsia="仿宋_GB2312" w:cs="仿宋_GB2312"/>
          <w:color w:val="auto"/>
          <w:kern w:val="0"/>
          <w:szCs w:val="32"/>
          <w:u w:val="none"/>
        </w:rPr>
        <w:t>。</w:t>
      </w:r>
      <w:r>
        <w:rPr>
          <w:rFonts w:hint="eastAsia" w:ascii="仿宋_GB2312" w:hAnsi="仿宋_GB2312" w:eastAsia="仿宋_GB2312" w:cs="仿宋_GB2312"/>
          <w:color w:val="auto"/>
          <w:kern w:val="0"/>
          <w:szCs w:val="32"/>
          <w:u w:val="none"/>
          <w:lang w:eastAsia="zh-CN"/>
        </w:rPr>
        <w:t>从严控制环境损害类鉴定机构，</w:t>
      </w:r>
      <w:r>
        <w:rPr>
          <w:rFonts w:hint="eastAsia" w:ascii="仿宋_GB2312" w:hAnsi="仿宋_GB2312" w:eastAsia="仿宋_GB2312" w:cs="仿宋_GB2312"/>
          <w:color w:val="auto"/>
          <w:kern w:val="0"/>
          <w:szCs w:val="32"/>
          <w:u w:val="none"/>
          <w:lang w:val="en-US" w:eastAsia="zh-CN"/>
        </w:rPr>
        <w:t>鼓励</w:t>
      </w:r>
      <w:r>
        <w:rPr>
          <w:rFonts w:hint="eastAsia" w:ascii="仿宋_GB2312" w:hAnsi="仿宋_GB2312" w:eastAsia="仿宋_GB2312" w:cs="仿宋_GB2312"/>
          <w:color w:val="auto"/>
          <w:kern w:val="0"/>
          <w:szCs w:val="32"/>
          <w:u w:val="none"/>
        </w:rPr>
        <w:t>科研院所和</w:t>
      </w:r>
      <w:r>
        <w:rPr>
          <w:rFonts w:hint="eastAsia" w:ascii="仿宋_GB2312" w:hAnsi="仿宋_GB2312" w:eastAsia="仿宋_GB2312" w:cs="仿宋_GB2312"/>
          <w:color w:val="auto"/>
          <w:kern w:val="0"/>
          <w:szCs w:val="32"/>
          <w:u w:val="none"/>
          <w:lang w:eastAsia="zh-CN"/>
        </w:rPr>
        <w:t>环境领域</w:t>
      </w:r>
      <w:r>
        <w:rPr>
          <w:rFonts w:hint="eastAsia" w:ascii="仿宋_GB2312" w:hAnsi="仿宋_GB2312" w:eastAsia="仿宋_GB2312" w:cs="仿宋_GB2312"/>
          <w:color w:val="auto"/>
          <w:kern w:val="0"/>
          <w:szCs w:val="32"/>
          <w:u w:val="none"/>
        </w:rPr>
        <w:t>大型</w:t>
      </w:r>
      <w:r>
        <w:rPr>
          <w:rFonts w:hint="eastAsia" w:ascii="仿宋_GB2312" w:hAnsi="仿宋_GB2312" w:eastAsia="仿宋_GB2312" w:cs="仿宋_GB2312"/>
          <w:color w:val="auto"/>
          <w:kern w:val="0"/>
          <w:szCs w:val="32"/>
          <w:u w:val="none"/>
          <w:lang w:eastAsia="zh-CN"/>
        </w:rPr>
        <w:t>企业设立</w:t>
      </w:r>
      <w:r>
        <w:rPr>
          <w:rFonts w:hint="eastAsia" w:ascii="仿宋_GB2312" w:hAnsi="仿宋_GB2312" w:eastAsia="仿宋_GB2312" w:cs="仿宋_GB2312"/>
          <w:color w:val="auto"/>
          <w:kern w:val="0"/>
          <w:szCs w:val="32"/>
          <w:u w:val="none"/>
        </w:rPr>
        <w:t>综合业务</w:t>
      </w:r>
      <w:r>
        <w:rPr>
          <w:rFonts w:hint="eastAsia" w:ascii="仿宋_GB2312" w:hAnsi="仿宋_GB2312" w:eastAsia="仿宋_GB2312" w:cs="仿宋_GB2312"/>
          <w:color w:val="auto"/>
          <w:kern w:val="0"/>
          <w:szCs w:val="32"/>
          <w:u w:val="none"/>
          <w:lang w:eastAsia="zh-CN"/>
        </w:rPr>
        <w:t>鉴定机构</w:t>
      </w:r>
      <w:r>
        <w:rPr>
          <w:rFonts w:hint="eastAsia" w:ascii="仿宋_GB2312" w:hAnsi="仿宋_GB2312" w:eastAsia="仿宋_GB2312" w:cs="仿宋_GB2312"/>
          <w:color w:val="auto"/>
          <w:kern w:val="0"/>
          <w:szCs w:val="32"/>
          <w:u w:val="none"/>
        </w:rPr>
        <w:t>。指导推动现有环境损害鉴定机构加强队伍建设、提高实验室配置、提升服务能力以及分领域扩项，更好地服务</w:t>
      </w:r>
      <w:r>
        <w:rPr>
          <w:rFonts w:hint="eastAsia" w:ascii="仿宋_GB2312" w:hAnsi="仿宋_GB2312" w:eastAsia="仿宋_GB2312" w:cs="仿宋_GB2312"/>
          <w:color w:val="auto"/>
          <w:kern w:val="0"/>
          <w:szCs w:val="32"/>
          <w:u w:val="none"/>
          <w:lang w:eastAsia="zh-CN"/>
        </w:rPr>
        <w:t>保障美丽江苏建设</w:t>
      </w:r>
      <w:r>
        <w:rPr>
          <w:rFonts w:hint="eastAsia" w:ascii="仿宋_GB2312" w:hAnsi="仿宋_GB2312" w:eastAsia="仿宋_GB2312" w:cs="仿宋_GB2312"/>
          <w:color w:val="auto"/>
          <w:kern w:val="0"/>
          <w:szCs w:val="32"/>
          <w:u w:val="none"/>
        </w:rPr>
        <w:t>。</w:t>
      </w:r>
    </w:p>
    <w:p w14:paraId="03341C1B">
      <w:pPr>
        <w:pStyle w:val="6"/>
        <w:shd w:val="clear" w:color="auto" w:fill="FFFFFF"/>
        <w:spacing w:beforeAutospacing="0" w:afterAutospacing="0" w:line="420" w:lineRule="atLeast"/>
        <w:ind w:firstLine="645"/>
        <w:jc w:val="both"/>
        <w:rPr>
          <w:rFonts w:ascii="黑体" w:hAnsi="黑体" w:eastAsia="黑体" w:cs="黑体"/>
          <w:color w:val="auto"/>
          <w:spacing w:val="2"/>
          <w:sz w:val="31"/>
          <w:szCs w:val="31"/>
          <w:u w:val="none"/>
        </w:rPr>
      </w:pPr>
      <w:r>
        <w:rPr>
          <w:rFonts w:hint="eastAsia" w:ascii="黑体" w:hAnsi="黑体" w:eastAsia="黑体" w:cs="黑体"/>
          <w:color w:val="auto"/>
          <w:spacing w:val="2"/>
          <w:sz w:val="31"/>
          <w:szCs w:val="31"/>
          <w:u w:val="none"/>
        </w:rPr>
        <w:t>四、工作要求</w:t>
      </w:r>
    </w:p>
    <w:p w14:paraId="4B3C77EE">
      <w:pPr>
        <w:ind w:firstLine="656" w:firstLineChars="200"/>
        <w:rPr>
          <w:rFonts w:ascii="仿宋_GB2312" w:hAnsi="仿宋_GB2312" w:eastAsia="仿宋_GB2312" w:cs="仿宋_GB2312"/>
          <w:color w:val="auto"/>
          <w:spacing w:val="6"/>
          <w:szCs w:val="32"/>
          <w:u w:val="none"/>
        </w:rPr>
      </w:pPr>
      <w:r>
        <w:rPr>
          <w:rFonts w:hint="eastAsia" w:ascii="仿宋_GB2312" w:hAnsi="仿宋_GB2312" w:eastAsia="仿宋_GB2312" w:cs="仿宋_GB2312"/>
          <w:color w:val="auto"/>
          <w:spacing w:val="6"/>
          <w:szCs w:val="32"/>
          <w:u w:val="none"/>
        </w:rPr>
        <w:t>制定和实施本</w:t>
      </w:r>
      <w:r>
        <w:rPr>
          <w:rFonts w:hint="eastAsia" w:ascii="仿宋_GB2312" w:hAnsi="仿宋_GB2312" w:eastAsia="仿宋_GB2312" w:cs="仿宋_GB2312"/>
          <w:color w:val="auto"/>
          <w:spacing w:val="6"/>
          <w:szCs w:val="32"/>
          <w:u w:val="none"/>
          <w:lang w:val="en-US" w:eastAsia="zh-CN"/>
        </w:rPr>
        <w:t>意见</w:t>
      </w:r>
      <w:r>
        <w:rPr>
          <w:rFonts w:hint="eastAsia" w:ascii="仿宋_GB2312" w:hAnsi="仿宋_GB2312" w:eastAsia="仿宋_GB2312" w:cs="仿宋_GB2312"/>
          <w:color w:val="auto"/>
          <w:spacing w:val="6"/>
          <w:szCs w:val="32"/>
          <w:u w:val="none"/>
        </w:rPr>
        <w:t>，是优化司法鉴定资源配置、推动司法鉴定工作高质量发展的重要举措。各地要高度重视，组织司法鉴定管理人员认真学习，形成思想共识，确保</w:t>
      </w:r>
      <w:r>
        <w:rPr>
          <w:rFonts w:hint="eastAsia" w:ascii="仿宋_GB2312" w:hAnsi="仿宋_GB2312" w:eastAsia="仿宋_GB2312" w:cs="仿宋_GB2312"/>
          <w:color w:val="auto"/>
          <w:spacing w:val="6"/>
          <w:szCs w:val="32"/>
          <w:u w:val="none"/>
          <w:lang w:val="en-US" w:eastAsia="zh-CN"/>
        </w:rPr>
        <w:t>意见</w:t>
      </w:r>
      <w:r>
        <w:rPr>
          <w:rFonts w:hint="eastAsia" w:ascii="仿宋_GB2312" w:hAnsi="仿宋_GB2312" w:eastAsia="仿宋_GB2312" w:cs="仿宋_GB2312"/>
          <w:color w:val="auto"/>
          <w:spacing w:val="6"/>
          <w:szCs w:val="32"/>
          <w:u w:val="none"/>
        </w:rPr>
        <w:t>得到全面落实。要摸清本地区相关领域司法鉴定资源底数，确保新发展的司法鉴定机构符合</w:t>
      </w:r>
      <w:r>
        <w:rPr>
          <w:rFonts w:hint="eastAsia" w:ascii="仿宋_GB2312" w:hAnsi="仿宋_GB2312" w:eastAsia="仿宋_GB2312" w:cs="仿宋_GB2312"/>
          <w:color w:val="auto"/>
          <w:spacing w:val="6"/>
          <w:szCs w:val="32"/>
          <w:u w:val="none"/>
          <w:lang w:val="en-US" w:eastAsia="zh-CN"/>
        </w:rPr>
        <w:t>意见</w:t>
      </w:r>
      <w:r>
        <w:rPr>
          <w:rFonts w:hint="eastAsia" w:ascii="仿宋_GB2312" w:hAnsi="仿宋_GB2312" w:eastAsia="仿宋_GB2312" w:cs="仿宋_GB2312"/>
          <w:color w:val="auto"/>
          <w:spacing w:val="6"/>
          <w:szCs w:val="32"/>
          <w:u w:val="none"/>
        </w:rPr>
        <w:t>要求，</w:t>
      </w:r>
      <w:r>
        <w:rPr>
          <w:rFonts w:hint="eastAsia" w:ascii="仿宋_GB2312" w:hAnsi="仿宋_GB2312" w:eastAsia="仿宋_GB2312" w:cs="仿宋_GB2312"/>
          <w:color w:val="auto"/>
          <w:spacing w:val="3"/>
          <w:szCs w:val="32"/>
          <w:u w:val="none"/>
        </w:rPr>
        <w:t>引导机构通过合并重组、优化整合提高鉴</w:t>
      </w:r>
      <w:r>
        <w:rPr>
          <w:rFonts w:hint="eastAsia" w:ascii="仿宋_GB2312" w:hAnsi="仿宋_GB2312" w:eastAsia="仿宋_GB2312" w:cs="仿宋_GB2312"/>
          <w:color w:val="auto"/>
          <w:spacing w:val="3"/>
          <w:szCs w:val="32"/>
          <w:u w:val="none"/>
          <w:lang w:val="en-US" w:eastAsia="zh-CN"/>
        </w:rPr>
        <w:t>定水平，对长期不实际运行、业务量少、社会信誉低的机构，严格按照《司法鉴定机构和司法鉴定人退出管理办法（试行）》等规定及时予以注销。省厅将按照意见</w:t>
      </w:r>
      <w:r>
        <w:rPr>
          <w:rFonts w:hint="eastAsia" w:ascii="仿宋_GB2312" w:hAnsi="仿宋_GB2312" w:eastAsia="仿宋_GB2312" w:cs="仿宋_GB2312"/>
          <w:color w:val="auto"/>
          <w:spacing w:val="3"/>
          <w:szCs w:val="32"/>
          <w:u w:val="none"/>
        </w:rPr>
        <w:t>严把鉴定机构入口关，</w:t>
      </w:r>
      <w:r>
        <w:rPr>
          <w:rFonts w:hint="eastAsia" w:ascii="仿宋_GB2312" w:hAnsi="仿宋_GB2312" w:eastAsia="仿宋_GB2312" w:cs="仿宋_GB2312"/>
          <w:color w:val="auto"/>
          <w:spacing w:val="6"/>
          <w:szCs w:val="32"/>
          <w:u w:val="none"/>
        </w:rPr>
        <w:t>完善鉴定机构退出机制，为司法鉴定行业发展营造良好环境。</w:t>
      </w:r>
    </w:p>
    <w:bookmarkEnd w:id="0"/>
    <w:sectPr>
      <w:footerReference r:id="rId3" w:type="default"/>
      <w:pgSz w:w="11906" w:h="16838"/>
      <w:pgMar w:top="2098" w:right="1474" w:bottom="1984" w:left="1587" w:header="851" w:footer="992" w:gutter="0"/>
      <w:cols w:space="0" w:num="1"/>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EF1710B-A9B0-41ED-8E8C-0A557223BEF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公文小标宋">
    <w:panose1 w:val="02000500000000000000"/>
    <w:charset w:val="86"/>
    <w:family w:val="auto"/>
    <w:pitch w:val="default"/>
    <w:sig w:usb0="A00002BF" w:usb1="38CF7CFA" w:usb2="00000016" w:usb3="00000000" w:csb0="00040001" w:csb1="00000000"/>
    <w:embedRegular r:id="rId2" w:fontKey="{D66F4D5D-7A3A-41BC-B44C-B6540E44680D}"/>
  </w:font>
  <w:font w:name="方正小标宋_GBK">
    <w:panose1 w:val="03000509000000000000"/>
    <w:charset w:val="86"/>
    <w:family w:val="auto"/>
    <w:pitch w:val="default"/>
    <w:sig w:usb0="00000001" w:usb1="080E0000" w:usb2="00000000" w:usb3="00000000" w:csb0="00040000" w:csb1="00000000"/>
    <w:embedRegular r:id="rId3" w:fontKey="{EF4D2D49-6FC9-4D87-B713-8DB14ED986B4}"/>
  </w:font>
  <w:font w:name="楷体_GB2312">
    <w:panose1 w:val="02010609030101010101"/>
    <w:charset w:val="86"/>
    <w:family w:val="modern"/>
    <w:pitch w:val="default"/>
    <w:sig w:usb0="00000001" w:usb1="080E0000" w:usb2="00000000" w:usb3="00000000" w:csb0="00040000" w:csb1="00000000"/>
    <w:embedRegular r:id="rId4" w:fontKey="{1DAC6D43-E7E8-4153-B8BC-39AC2974396F}"/>
  </w:font>
  <w:font w:name="仿宋_GB2312">
    <w:panose1 w:val="02010609030101010101"/>
    <w:charset w:val="86"/>
    <w:family w:val="modern"/>
    <w:pitch w:val="default"/>
    <w:sig w:usb0="00000001" w:usb1="080E0000" w:usb2="00000000" w:usb3="00000000" w:csb0="00040000" w:csb1="00000000"/>
    <w:embedRegular r:id="rId5" w:fontKey="{59DC99C4-C0D1-49EA-BC39-9476674D20BF}"/>
  </w:font>
  <w:font w:name="仿宋">
    <w:panose1 w:val="02010609060101010101"/>
    <w:charset w:val="86"/>
    <w:family w:val="modern"/>
    <w:pitch w:val="default"/>
    <w:sig w:usb0="800002BF" w:usb1="38CF7CFA" w:usb2="00000016" w:usb3="00000000" w:csb0="00040001" w:csb1="00000000"/>
    <w:embedRegular r:id="rId6" w:fontKey="{409085CE-5DDD-4BBA-8A9C-BE8905B28206}"/>
  </w:font>
  <w:font w:name="楷体">
    <w:panose1 w:val="02010609060101010101"/>
    <w:charset w:val="86"/>
    <w:family w:val="modern"/>
    <w:pitch w:val="default"/>
    <w:sig w:usb0="800002BF" w:usb1="38CF7CFA" w:usb2="00000016" w:usb3="00000000" w:csb0="00040001" w:csb1="00000000"/>
    <w:embedRegular r:id="rId7" w:fontKey="{3FB602DB-0A9B-4231-938C-3DA38A043E52}"/>
  </w:font>
  <w:font w:name="微软雅黑">
    <w:panose1 w:val="020B0503020204020204"/>
    <w:charset w:val="86"/>
    <w:family w:val="swiss"/>
    <w:pitch w:val="default"/>
    <w:sig w:usb0="80000287" w:usb1="2ACF3C50" w:usb2="00000016" w:usb3="00000000" w:csb0="0004001F" w:csb1="00000000"/>
    <w:embedRegular r:id="rId8" w:fontKey="{41F90851-1495-416E-A584-A4B94588914C}"/>
  </w:font>
  <w:font w:name="方正仿宋_GB2312">
    <w:panose1 w:val="02000000000000000000"/>
    <w:charset w:val="86"/>
    <w:family w:val="auto"/>
    <w:pitch w:val="default"/>
    <w:sig w:usb0="A00002BF" w:usb1="184F6CFA" w:usb2="00000012" w:usb3="00000000" w:csb0="00040001" w:csb1="00000000"/>
    <w:embedRegular r:id="rId9" w:fontKey="{093A1E59-7F20-4177-983F-59FECA92932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35F3D">
    <w:pPr>
      <w:spacing w:line="236" w:lineRule="auto"/>
      <w:ind w:left="28"/>
      <w:rPr>
        <w:rFonts w:ascii="仿宋" w:hAnsi="仿宋" w:eastAsia="仿宋" w:cs="仿宋"/>
        <w:sz w:val="31"/>
        <w:szCs w:val="31"/>
      </w:rPr>
    </w:pPr>
    <w:r>
      <w:rPr>
        <w:sz w:val="3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C8AB562">
                          <w:pPr>
                            <w:pStyle w:val="4"/>
                            <w:rPr>
                              <w:rFonts w:ascii="楷体" w:hAnsi="楷体" w:eastAsia="楷体" w:cs="楷体"/>
                              <w:sz w:val="28"/>
                              <w:szCs w:val="28"/>
                            </w:rPr>
                          </w:pPr>
                          <w:r>
                            <w:rPr>
                              <w:rFonts w:hint="eastAsia" w:ascii="楷体" w:hAnsi="楷体" w:eastAsia="楷体" w:cs="楷体"/>
                              <w:sz w:val="28"/>
                              <w:szCs w:val="28"/>
                            </w:rPr>
                            <w:t xml:space="preserve">— </w:t>
                          </w: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ascii="楷体" w:hAnsi="楷体" w:eastAsia="楷体" w:cs="楷体"/>
                              <w:sz w:val="28"/>
                              <w:szCs w:val="28"/>
                            </w:rPr>
                            <w:t>3</w:t>
                          </w:r>
                          <w:r>
                            <w:rPr>
                              <w:rFonts w:hint="eastAsia" w:ascii="楷体" w:hAnsi="楷体" w:eastAsia="楷体" w:cs="楷体"/>
                              <w:sz w:val="28"/>
                              <w:szCs w:val="28"/>
                            </w:rPr>
                            <w:fldChar w:fldCharType="end"/>
                          </w:r>
                          <w:r>
                            <w:rPr>
                              <w:rFonts w:hint="eastAsia" w:ascii="楷体" w:hAnsi="楷体" w:eastAsia="楷体" w:cs="楷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14:paraId="1C8AB562">
                    <w:pPr>
                      <w:pStyle w:val="4"/>
                      <w:rPr>
                        <w:rFonts w:ascii="楷体" w:hAnsi="楷体" w:eastAsia="楷体" w:cs="楷体"/>
                        <w:sz w:val="28"/>
                        <w:szCs w:val="28"/>
                      </w:rPr>
                    </w:pPr>
                    <w:r>
                      <w:rPr>
                        <w:rFonts w:hint="eastAsia" w:ascii="楷体" w:hAnsi="楷体" w:eastAsia="楷体" w:cs="楷体"/>
                        <w:sz w:val="28"/>
                        <w:szCs w:val="28"/>
                      </w:rPr>
                      <w:t xml:space="preserve">— </w:t>
                    </w: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ascii="楷体" w:hAnsi="楷体" w:eastAsia="楷体" w:cs="楷体"/>
                        <w:sz w:val="28"/>
                        <w:szCs w:val="28"/>
                      </w:rPr>
                      <w:t>3</w:t>
                    </w:r>
                    <w:r>
                      <w:rPr>
                        <w:rFonts w:hint="eastAsia" w:ascii="楷体" w:hAnsi="楷体" w:eastAsia="楷体" w:cs="楷体"/>
                        <w:sz w:val="28"/>
                        <w:szCs w:val="28"/>
                      </w:rPr>
                      <w:fldChar w:fldCharType="end"/>
                    </w:r>
                    <w:r>
                      <w:rPr>
                        <w:rFonts w:hint="eastAsia" w:ascii="楷体" w:hAnsi="楷体" w:eastAsia="楷体" w:cs="楷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embedTrueTypeFonts/>
  <w:saveSubsetFonts/>
  <w:bordersDoNotSurroundHeader w:val="0"/>
  <w:bordersDoNotSurroundFooter w:val="0"/>
  <w:documentProtection w:enforcement="0"/>
  <w:defaultTabStop w:val="420"/>
  <w:drawingGridHorizontalSpacing w:val="158"/>
  <w:drawingGridVerticalSpacing w:val="290"/>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B67C5D"/>
    <w:rsid w:val="0013619C"/>
    <w:rsid w:val="0014797B"/>
    <w:rsid w:val="00227764"/>
    <w:rsid w:val="002711C2"/>
    <w:rsid w:val="002E7D09"/>
    <w:rsid w:val="00517E46"/>
    <w:rsid w:val="00563FF9"/>
    <w:rsid w:val="006A4338"/>
    <w:rsid w:val="00751634"/>
    <w:rsid w:val="007C3526"/>
    <w:rsid w:val="007E7EE8"/>
    <w:rsid w:val="008326E4"/>
    <w:rsid w:val="008D0135"/>
    <w:rsid w:val="00934874"/>
    <w:rsid w:val="00A915CE"/>
    <w:rsid w:val="00B302A6"/>
    <w:rsid w:val="00B37637"/>
    <w:rsid w:val="00B97641"/>
    <w:rsid w:val="00BC3300"/>
    <w:rsid w:val="00C96E8B"/>
    <w:rsid w:val="00CE2781"/>
    <w:rsid w:val="00D2206C"/>
    <w:rsid w:val="00DA6CFF"/>
    <w:rsid w:val="00DD0BD2"/>
    <w:rsid w:val="00DF1E42"/>
    <w:rsid w:val="00E32D2A"/>
    <w:rsid w:val="00E52CCA"/>
    <w:rsid w:val="00E61DD5"/>
    <w:rsid w:val="00E7079A"/>
    <w:rsid w:val="00E770DA"/>
    <w:rsid w:val="00E87C04"/>
    <w:rsid w:val="00EF0205"/>
    <w:rsid w:val="00F14FBA"/>
    <w:rsid w:val="00F6603F"/>
    <w:rsid w:val="00FB490C"/>
    <w:rsid w:val="00FE17BA"/>
    <w:rsid w:val="01422126"/>
    <w:rsid w:val="017F6645"/>
    <w:rsid w:val="026B347F"/>
    <w:rsid w:val="03E21CE4"/>
    <w:rsid w:val="04305BEE"/>
    <w:rsid w:val="04605018"/>
    <w:rsid w:val="04ED3A23"/>
    <w:rsid w:val="054E05C4"/>
    <w:rsid w:val="06C44CC2"/>
    <w:rsid w:val="08D6059E"/>
    <w:rsid w:val="09667E26"/>
    <w:rsid w:val="09B21785"/>
    <w:rsid w:val="0C2220AA"/>
    <w:rsid w:val="0EE448FE"/>
    <w:rsid w:val="12367AA9"/>
    <w:rsid w:val="13BD7E84"/>
    <w:rsid w:val="142B4CFC"/>
    <w:rsid w:val="14C72DC2"/>
    <w:rsid w:val="157D3325"/>
    <w:rsid w:val="15D05B4B"/>
    <w:rsid w:val="18532FFB"/>
    <w:rsid w:val="194A13FD"/>
    <w:rsid w:val="19921A61"/>
    <w:rsid w:val="1D303373"/>
    <w:rsid w:val="1F0D56A6"/>
    <w:rsid w:val="1FED00C1"/>
    <w:rsid w:val="1FF53350"/>
    <w:rsid w:val="20DB35F6"/>
    <w:rsid w:val="24AE0D3C"/>
    <w:rsid w:val="25B61F3B"/>
    <w:rsid w:val="27291564"/>
    <w:rsid w:val="274774F6"/>
    <w:rsid w:val="284D4DD9"/>
    <w:rsid w:val="28CE0743"/>
    <w:rsid w:val="2A3C4787"/>
    <w:rsid w:val="2A4029F2"/>
    <w:rsid w:val="2B9129F3"/>
    <w:rsid w:val="2C8F7E54"/>
    <w:rsid w:val="2CA90A4C"/>
    <w:rsid w:val="2DC31A3D"/>
    <w:rsid w:val="30A83264"/>
    <w:rsid w:val="32234C3A"/>
    <w:rsid w:val="32281420"/>
    <w:rsid w:val="32947312"/>
    <w:rsid w:val="333A04E6"/>
    <w:rsid w:val="33E85CC1"/>
    <w:rsid w:val="34026BCC"/>
    <w:rsid w:val="36514A51"/>
    <w:rsid w:val="3946392C"/>
    <w:rsid w:val="3A655B94"/>
    <w:rsid w:val="3D572612"/>
    <w:rsid w:val="3E567850"/>
    <w:rsid w:val="3F2301EA"/>
    <w:rsid w:val="40A62FAE"/>
    <w:rsid w:val="41FF6BF8"/>
    <w:rsid w:val="42F76BBC"/>
    <w:rsid w:val="44DB2509"/>
    <w:rsid w:val="46570831"/>
    <w:rsid w:val="49CD3F23"/>
    <w:rsid w:val="4B7038CA"/>
    <w:rsid w:val="4BA7702D"/>
    <w:rsid w:val="4E757711"/>
    <w:rsid w:val="4EA824BA"/>
    <w:rsid w:val="50597F0F"/>
    <w:rsid w:val="51246E57"/>
    <w:rsid w:val="525F7A02"/>
    <w:rsid w:val="52A35200"/>
    <w:rsid w:val="53B83144"/>
    <w:rsid w:val="590F397C"/>
    <w:rsid w:val="59A776A2"/>
    <w:rsid w:val="5BB37628"/>
    <w:rsid w:val="5E8D3EC6"/>
    <w:rsid w:val="5EA154E2"/>
    <w:rsid w:val="6775167B"/>
    <w:rsid w:val="67964FA5"/>
    <w:rsid w:val="6A6154FC"/>
    <w:rsid w:val="6CC61D04"/>
    <w:rsid w:val="6DFB7B8A"/>
    <w:rsid w:val="6E322A0D"/>
    <w:rsid w:val="6E9E033D"/>
    <w:rsid w:val="71A462ED"/>
    <w:rsid w:val="72AA0772"/>
    <w:rsid w:val="73047240"/>
    <w:rsid w:val="7493719A"/>
    <w:rsid w:val="74F06755"/>
    <w:rsid w:val="756C349C"/>
    <w:rsid w:val="77042763"/>
    <w:rsid w:val="792F3844"/>
    <w:rsid w:val="793741EC"/>
    <w:rsid w:val="7BF72207"/>
    <w:rsid w:val="7DE937F2"/>
    <w:rsid w:val="7EB67C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32"/>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0"/>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rFonts w:cs="Times New Roman"/>
      <w:kern w:val="0"/>
      <w:sz w:val="24"/>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3.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ntractReview xmlns="http://schemas.wps.cn/vas-ai-hub/contract-review">
  <reviewItems>
    <reviewItem>
      <errorID>c216f046-4d7b-439f-9286-a0ed3e67ae7c</errorID>
      <errorWord>人</errorWord>
      <group>L1_Word</group>
      <groupName>字词问题</groupName>
      <ability>L2_Typo</ability>
      <abilityName>字词错误</abilityName>
      <candidateList>
        <item>人员</item>
      </candidateList>
      <explain>〈名〉担任某种职务的人：机关工作～｜值班～｜～配备。</explain>
      <paraID>29417217</paraID>
      <start>84</start>
      <end>85</end>
      <status>unmodified</status>
      <modifiedWord/>
      <trackRevisions>false</trackRevisions>
    </reviewItem>
    <reviewItem>
      <errorID>dabf3a00-8d1e-49aa-a53d-68ce4b8563fe</errorID>
      <errorWord>，</errorWord>
      <group>L1_Word</group>
      <groupName>字词问题</groupName>
      <ability>L2_Typo</ability>
      <abilityName>字词错误</abilityName>
      <candidateList>
        <item>，要</item>
      </candidateList>
      <explain/>
      <paraID>6CA4B9A3</paraID>
      <start>129</start>
      <end>130</end>
      <status>unmodified</status>
      <modifiedWord/>
      <trackRevisions>false</trackRevisions>
    </reviewItem>
    <reviewItem>
      <errorID>27b649e7-6dd4-49e2-96d4-e19a6e31ae02</errorID>
      <errorWord>减少</errorWord>
      <group>L1_Grammar</group>
      <groupName>语法问题</groupName>
      <ability>L2_Order</ability>
      <abilityName>语序不当</abilityName>
      <candidateList>
        <item>增加</item>
      </candidateList>
      <explain>句子可能没有遵循时空、逻辑顺序，或者介词、关联词等位置不当。</explain>
      <paraID>60D50191</paraID>
      <start>44</start>
      <end>46</end>
      <status>unmodified</status>
      <modifiedWord/>
      <trackRevisions>false</trackRevisions>
    </reviewItem>
    <reviewItem>
      <errorID>fd80de26-56b0-44c8-9084-546462b86bba</errorID>
      <errorWord>鉴定分</errorWord>
      <group>L1_Word</group>
      <groupName>字词问题</groupName>
      <ability>L2_Typo</ability>
      <abilityName>字词错误</abilityName>
      <candidateList>
        <item>鉴定</item>
      </candidateList>
      <explain/>
      <paraID>60D50191</paraID>
      <start>78</start>
      <end>81</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688DE5E-7B3C-4C97-8F68-AAA49F763B21}">
  <ds:schemaRefs/>
</ds:datastoreItem>
</file>

<file path=customXml/itemProps3.xml><?xml version="1.0" encoding="utf-8"?>
<ds:datastoreItem xmlns:ds="http://schemas.openxmlformats.org/officeDocument/2006/customXml" ds:itemID="{3b7277ec-4c62-4c13-9884-ace34a82c4de}">
  <ds:schemaRefs/>
</ds:datastoreItem>
</file>

<file path=docProps/app.xml><?xml version="1.0" encoding="utf-8"?>
<Properties xmlns="http://schemas.openxmlformats.org/officeDocument/2006/extended-properties" xmlns:vt="http://schemas.openxmlformats.org/officeDocument/2006/docPropsVTypes">
  <Template>Normal</Template>
  <Pages>4</Pages>
  <Words>1656</Words>
  <Characters>1660</Characters>
  <Lines>19</Lines>
  <Paragraphs>5</Paragraphs>
  <TotalTime>3</TotalTime>
  <ScaleCrop>false</ScaleCrop>
  <LinksUpToDate>false</LinksUpToDate>
  <CharactersWithSpaces>1662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2025-09-28T00:22:00Z</dcterms:created>
  <dc:creator>兔子</dc:creator>
  <cp:lastModifiedBy>兔子</cp:lastModifiedBy>
  <cp:lastPrinted>2025-12-29T01:21:00Z</cp:lastPrinted>
  <dcterms:modified xsi:type="dcterms:W3CDTF">2025-12-30T07:59:17Z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532A96C5572E488EBC06A2676C9DE76D_13</vt:lpwstr>
  </property>
  <property fmtid="{D5CDD505-2E9C-101B-9397-08002B2CF9AE}" pid="4" name="KSOTemplateDocerSaveRecord">
    <vt:lpwstr>eyJoZGlkIjoiMjM5MTNhZjc4ZjAzMzc0NmFjNjZlOTE1OGE4NWQxMjQiLCJ1c2VySWQiOiI1ODQ4NDcwNDMifQ==</vt:lpwstr>
  </property>
</Properties>
</file>