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ordWrap w:val="0"/>
        <w:spacing w:line="579" w:lineRule="exact"/>
        <w:ind w:left="0" w:firstLine="640" w:firstLineChars="200"/>
        <w:jc w:val="right"/>
        <w:rPr>
          <w:rFonts w:ascii="Times New Roman" w:hAnsi="Times New Roman" w:eastAsia="仿宋_GB2312" w:cs="Times New Roman"/>
          <w:lang w:val="en-US"/>
        </w:rPr>
      </w:pPr>
      <w:bookmarkStart w:id="0" w:name="_GoBack"/>
      <w:bookmarkEnd w:id="0"/>
      <w:r>
        <w:rPr>
          <w:rFonts w:ascii="Times New Roman" w:hAnsi="Times New Roman" w:eastAsia="仿宋_GB2312" w:cs="Times New Roman"/>
          <w:lang w:val="en-US"/>
        </w:rPr>
        <w:t xml:space="preserve">     </w:t>
      </w:r>
    </w:p>
    <w:p>
      <w:pPr>
        <w:spacing w:line="579" w:lineRule="exact"/>
        <w:rPr>
          <w:rFonts w:ascii="黑体" w:hAnsi="黑体" w:eastAsia="黑体"/>
          <w:sz w:val="32"/>
          <w:szCs w:val="32"/>
        </w:rPr>
      </w:pPr>
      <w:r>
        <w:rPr>
          <w:rFonts w:hint="eastAsia" w:ascii="黑体" w:hAnsi="黑体" w:eastAsia="黑体"/>
          <w:sz w:val="32"/>
          <w:szCs w:val="32"/>
        </w:rPr>
        <w:t>附件</w:t>
      </w:r>
    </w:p>
    <w:p>
      <w:pPr>
        <w:pStyle w:val="2"/>
        <w:spacing w:line="579" w:lineRule="exact"/>
        <w:rPr>
          <w:lang w:val="en-US" w:bidi="ar-SA"/>
        </w:rPr>
      </w:pPr>
    </w:p>
    <w:p>
      <w:pPr>
        <w:spacing w:line="579" w:lineRule="exact"/>
        <w:jc w:val="center"/>
        <w:rPr>
          <w:rFonts w:ascii="方正小标宋简体" w:hAnsi="Times New Roman" w:eastAsia="方正小标宋简体" w:cs="Times New Roman"/>
          <w:sz w:val="44"/>
          <w:szCs w:val="44"/>
        </w:rPr>
      </w:pPr>
      <w:r>
        <w:rPr>
          <w:rFonts w:hint="default" w:ascii="方正小标宋简体" w:hAnsi="Times New Roman" w:eastAsia="方正小标宋简体" w:cs="Times New Roman"/>
          <w:sz w:val="44"/>
          <w:szCs w:val="44"/>
          <w:lang w:val="en-US"/>
        </w:rPr>
        <w:t>2024</w:t>
      </w:r>
      <w:r>
        <w:rPr>
          <w:rFonts w:hint="eastAsia" w:ascii="方正小标宋简体" w:hAnsi="Times New Roman" w:eastAsia="方正小标宋简体" w:cs="Times New Roman"/>
          <w:sz w:val="44"/>
          <w:szCs w:val="44"/>
        </w:rPr>
        <w:t>年江苏省法治惠民实事项目</w:t>
      </w:r>
    </w:p>
    <w:p>
      <w:pPr>
        <w:spacing w:line="579" w:lineRule="exact"/>
        <w:jc w:val="center"/>
        <w:rPr>
          <w:rFonts w:ascii="Times New Roman" w:hAnsi="Times New Roman" w:eastAsia="楷体_GB2312"/>
          <w:sz w:val="32"/>
          <w:szCs w:val="32"/>
        </w:rPr>
      </w:pPr>
      <w:r>
        <w:rPr>
          <w:rFonts w:ascii="Times New Roman" w:hAnsi="Times New Roman" w:eastAsia="楷体_GB2312"/>
          <w:sz w:val="32"/>
          <w:szCs w:val="32"/>
        </w:rPr>
        <w:t>（拟</w:t>
      </w:r>
      <w:r>
        <w:rPr>
          <w:rFonts w:hint="eastAsia" w:ascii="Times New Roman" w:hAnsi="Times New Roman" w:eastAsia="楷体_GB2312"/>
          <w:sz w:val="32"/>
          <w:szCs w:val="32"/>
        </w:rPr>
        <w:t>确定</w:t>
      </w:r>
      <w:r>
        <w:rPr>
          <w:rFonts w:ascii="Times New Roman" w:hAnsi="Times New Roman" w:eastAsia="楷体_GB2312"/>
          <w:sz w:val="32"/>
          <w:szCs w:val="32"/>
        </w:rPr>
        <w:t>名单）</w:t>
      </w:r>
    </w:p>
    <w:p>
      <w:pPr>
        <w:widowControl/>
        <w:spacing w:line="579" w:lineRule="exact"/>
        <w:rPr>
          <w:rFonts w:ascii="Times New Roman" w:hAnsi="Times New Roman" w:eastAsia="黑体" w:cs="Times New Roman"/>
          <w:sz w:val="32"/>
          <w:szCs w:val="32"/>
        </w:rPr>
      </w:pP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一、化解涉及群众办证的不动产历史遗留问题。</w:t>
      </w:r>
      <w:r>
        <w:rPr>
          <w:rFonts w:hint="eastAsia" w:ascii="仿宋_GB2312" w:hAnsi="Times New Roman" w:eastAsia="仿宋_GB2312" w:cs="仿宋_GB2312"/>
          <w:kern w:val="0"/>
          <w:sz w:val="32"/>
          <w:szCs w:val="32"/>
          <w:lang w:val="en-US" w:eastAsia="zh-CN" w:bidi="ar"/>
        </w:rPr>
        <w:t>坚持不动产登记制度与人民群众财产利益切身相关，社会关注度高，自实施以来产生了积极影响，但也存在一些诸如安置房办证等难以解决的问题。《民法典》《不动产登记暂行条例》《自然资源部关于加快解决不动产登记若干历史遗留问题的通知》等做出了相关规定，为妥善解决不动产历史遗留问题，切实保护群众合法权益提供了依据和指导。我厅坚持问题导向、目标导向，运用法治思维，采取系列措施，攻坚克难。一是部署攻坚行动，维护群众权益。开展全省安置房未办证问题集中整治攻坚行动，积极化解因安置房建设管理不规范、手续不齐全等原因导致安置群众无法办理不动产登记的问题，满足安置群众重大财产权得到有效保护的需求，维护政府公信力。二是准确摸清成因，分类施策化解。依据《江苏省不动产登记条例》以及省自然资源厅等四部门《关于加快解决涉及群众办证的不动产历史遗留问题的通知》等文件，在深入调研、走访、分析成因的基础上，运用法治思维，指导各地依法依规分类解决建设手续不完善、欠缴税费等问题。明确负面清单，守住房屋质量和消防安全底线，严防搭车办证等违规情况发生，为群众提供优质高效的示范性服务。三是部门系统配合，上下联动推进。建立全省安置房未办证问题化解指挥调度系统，逐套房屋建立清单台账，实行化解销号全流程管理。推动各地构建</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政府主导、部门联动</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的工作机制，明确责任主体、措施和时限，压实属地政府主体责任，结合实际制定方案，成立专班加快推进。与住建、财政、税务、法院等部门充分沟通协调，根据</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缺什么补什么、谁审批谁负责</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的原则，明确工作责任。四是健全长效机制，持续优化服务。充分发挥</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办不成事</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反映窗口、</w:t>
      </w:r>
      <w:r>
        <w:rPr>
          <w:rFonts w:hint="default" w:ascii="Times New Roman" w:hAnsi="Times New Roman" w:eastAsia="仿宋_GB2312" w:cs="Times New Roman"/>
          <w:kern w:val="0"/>
          <w:sz w:val="32"/>
          <w:szCs w:val="32"/>
          <w:lang w:val="en-US" w:eastAsia="zh-CN" w:bidi="ar"/>
        </w:rPr>
        <w:t>12345</w:t>
      </w:r>
      <w:r>
        <w:rPr>
          <w:rFonts w:hint="eastAsia" w:ascii="仿宋_GB2312" w:hAnsi="Times New Roman" w:eastAsia="仿宋_GB2312" w:cs="仿宋_GB2312"/>
          <w:kern w:val="0"/>
          <w:sz w:val="32"/>
          <w:szCs w:val="32"/>
          <w:lang w:val="en-US" w:eastAsia="zh-CN" w:bidi="ar"/>
        </w:rPr>
        <w:t>等</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前哨</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作用，持续摸排化解问题，做到</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发现一起、跟办一起、化解一起</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。加强新建安置房建设全流程管理，加大安置房</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交房即发证</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力度，开展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送证上门 温暖到家</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活动，最大程度方便群众办证，宣传引导群众主动申请转移登记，提升群众物权保护意识。</w:t>
      </w:r>
      <w:r>
        <w:rPr>
          <w:rFonts w:hint="eastAsia" w:ascii="仿宋_GB2312" w:hAnsi="Calibri" w:eastAsia="仿宋_GB2312" w:cs="仿宋_GB2312"/>
          <w:b/>
          <w:bCs/>
          <w:kern w:val="2"/>
          <w:sz w:val="32"/>
          <w:szCs w:val="32"/>
          <w:lang w:val="en-US" w:eastAsia="zh-CN" w:bidi="ar"/>
        </w:rPr>
        <w:t>（责任单位：省自然资源厅）</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黑体" w:hAnsi="宋体" w:eastAsia="黑体" w:cs="黑体"/>
          <w:kern w:val="2"/>
          <w:sz w:val="32"/>
          <w:szCs w:val="32"/>
          <w:lang w:val="en-US" w:eastAsia="zh-CN" w:bidi="ar"/>
        </w:rPr>
        <w:t>二、深入开展“产业链</w:t>
      </w:r>
      <w:r>
        <w:rPr>
          <w:rFonts w:hint="default" w:ascii="Times New Roman" w:hAnsi="Times New Roman" w:eastAsia="黑体" w:cs="Times New Roman"/>
          <w:kern w:val="2"/>
          <w:sz w:val="32"/>
          <w:szCs w:val="32"/>
          <w:lang w:val="en-US" w:eastAsia="zh-CN" w:bidi="ar"/>
        </w:rPr>
        <w:t>+</w:t>
      </w:r>
      <w:r>
        <w:rPr>
          <w:rFonts w:hint="eastAsia" w:ascii="黑体" w:hAnsi="宋体" w:eastAsia="黑体" w:cs="黑体"/>
          <w:kern w:val="2"/>
          <w:sz w:val="32"/>
          <w:szCs w:val="32"/>
          <w:lang w:val="en-US" w:eastAsia="zh-CN" w:bidi="ar"/>
        </w:rPr>
        <w:t>法律服务”，聚力护航制造强省行动。</w:t>
      </w:r>
      <w:r>
        <w:rPr>
          <w:rFonts w:hint="eastAsia" w:ascii="仿宋_GB2312" w:hAnsi="Times New Roman" w:eastAsia="仿宋_GB2312" w:cs="仿宋_GB2312"/>
          <w:kern w:val="0"/>
          <w:sz w:val="32"/>
          <w:szCs w:val="32"/>
          <w:lang w:val="en-US" w:eastAsia="zh-CN" w:bidi="ar"/>
        </w:rPr>
        <w:t>围绕</w:t>
      </w:r>
      <w:r>
        <w:rPr>
          <w:rFonts w:hint="default" w:ascii="Times New Roman" w:hAnsi="Times New Roman" w:eastAsia="仿宋_GB2312" w:cs="Times New Roman"/>
          <w:kern w:val="0"/>
          <w:sz w:val="32"/>
          <w:szCs w:val="32"/>
          <w:lang w:val="en-US" w:eastAsia="zh-CN" w:bidi="ar"/>
        </w:rPr>
        <w:t>“1650”</w:t>
      </w:r>
      <w:r>
        <w:rPr>
          <w:rFonts w:hint="eastAsia" w:ascii="仿宋_GB2312" w:hAnsi="Times New Roman" w:eastAsia="仿宋_GB2312" w:cs="仿宋_GB2312"/>
          <w:kern w:val="0"/>
          <w:sz w:val="32"/>
          <w:szCs w:val="32"/>
          <w:lang w:val="en-US" w:eastAsia="zh-CN" w:bidi="ar"/>
        </w:rPr>
        <w:t>产业体系开展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产业链</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法律服务</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，组织普法宣讲、培训辅导、交流分享、专题服务等活动，指导企业提升依法经营和合规管理水平，为全省制造业高质量发展提供法律服务。</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仿宋_GB2312" w:hAnsi="Times New Roman" w:eastAsia="仿宋_GB2312" w:cs="仿宋_GB2312"/>
          <w:kern w:val="0"/>
          <w:sz w:val="32"/>
          <w:szCs w:val="32"/>
          <w:lang w:val="en-US" w:eastAsia="zh-CN" w:bidi="ar"/>
        </w:rPr>
        <w:t>一是开展摸底调研。选取集成电路、船舶海工、节能环保装备、工程机械、软件与信息服务等重点产业链，梳理准链主企业、骨干企业法治建设、合规管理、普法用法及法治机构建设等情况，组织开展企业法律服务需求调研。二是开展企业合规培训。围绕加强知识产权保护、数据安全、国际合作等，邀请相关行业专家和律师开展合规专题培训，促进企业通过合规建设完善内控机制，有效防范法律风险。三是打造线上服务平台。依托</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数字工信</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平台，上线</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企业法治服务系统</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，从线下转向线上线下融合，推进企业法治、诚信合规管理。四是总结推广典型案例。省市联动、处室协同，梳理总结各设区市</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产业链</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法律服务</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经验案例，推出一批具有特色的产业链法律服务成功做法，报省法宣办等相关部门宣传推广。</w:t>
      </w:r>
      <w:r>
        <w:rPr>
          <w:rFonts w:hint="eastAsia" w:ascii="仿宋_GB2312" w:hAnsi="Calibri" w:eastAsia="仿宋_GB2312" w:cs="仿宋_GB2312"/>
          <w:b/>
          <w:bCs/>
          <w:kern w:val="2"/>
          <w:sz w:val="32"/>
          <w:szCs w:val="32"/>
          <w:lang w:val="en-US" w:eastAsia="zh-CN" w:bidi="ar"/>
        </w:rPr>
        <w:t>（责任单位：省工业和信息化厅）</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三、开展“农小安”农产品质量安全守护行动。</w:t>
      </w:r>
      <w:r>
        <w:rPr>
          <w:rFonts w:hint="eastAsia" w:ascii="仿宋_GB2312" w:hAnsi="Times New Roman" w:eastAsia="仿宋_GB2312" w:cs="仿宋_GB2312"/>
          <w:kern w:val="0"/>
          <w:sz w:val="32"/>
          <w:szCs w:val="32"/>
          <w:lang w:val="en-US" w:eastAsia="zh-CN" w:bidi="ar"/>
        </w:rPr>
        <w:t>以贯彻落实《中华人民共和国农产品质量安全法》为重点，深入开展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农小安</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农产品质量安全守护行动，强化农产品质量安全相关法律法规及科学知识宣贯，依法依规做好检测把关、风险预警、行业监管和科普宣传等工作，切实守护人民群众</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舌尖上的安全</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一是构建农产品质量检测体系机制。高质量完成国家和省年度农产品质量安全例行监测、监督抽检等任务，规范检测行为，创新检测机制，提高检测质效，为农产品质量安全监管和投入品执法监管提供高质量的数据技术支撑及服务。二是开展农产品质量法治和科普宣传。加强法治教育和科普宣传力度，组建</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农小安</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农产品质量安全宣传队，通过举办党支部共建、实验室开放日、检测服务进社区、我为群众办实事等活动，向社会和群众普及农产品质量安全法相关知识，展示农产品检测技术，宣传农产品质量安全法律规定和科学常识，不断提升公众对农产品质量安全的认知、识别和防范水平。三是强化农产品质量检测能力建设。开展全省农产品检测机构能力提升行动，促进各级农产品检测机构及其从业人员认真学习农产品质量安全相关法律法规和相关标准，并针对豇豆专项整治、例行监测中农残检测技术关键等提供专业的技术培训和指导，不断提升农产品质量安全检验测试及监管水平。</w:t>
      </w:r>
      <w:r>
        <w:rPr>
          <w:rFonts w:hint="eastAsia" w:ascii="仿宋_GB2312" w:hAnsi="Calibri" w:eastAsia="仿宋_GB2312" w:cs="仿宋_GB2312"/>
          <w:b/>
          <w:bCs/>
          <w:kern w:val="2"/>
          <w:sz w:val="32"/>
          <w:szCs w:val="32"/>
          <w:lang w:val="en-US" w:eastAsia="zh-CN" w:bidi="ar"/>
        </w:rPr>
        <w:t>（责任单位：省农业农村厅）</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四、修订《江苏省法律援助条例》，护航群众合法权益。</w:t>
      </w:r>
      <w:r>
        <w:rPr>
          <w:rFonts w:hint="eastAsia" w:ascii="仿宋_GB2312" w:hAnsi="Times New Roman" w:eastAsia="仿宋_GB2312" w:cs="仿宋_GB2312"/>
          <w:kern w:val="0"/>
          <w:sz w:val="32"/>
          <w:szCs w:val="32"/>
          <w:lang w:val="en-US" w:eastAsia="zh-CN" w:bidi="ar"/>
        </w:rPr>
        <w:t>法律援助是为经济困难公民和符合法定条件的其他当事人无偿提供法律咨询、代理、刑事辩护等法律服务的制度，是公共法律服务体系的组成部分，对保障公民合法权益、完善社会保障体系、健全社会主义法制等方面发挥着极为重要的作用。党的十八大以来，习近平总书记提出了</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努力让人民群众在每一个司法案件中感受到公平正义</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的要求，强调要</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切实解决好老百姓打官司难的问题，特别是要加大对困难群众维护合法权益的法律援助</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。我省自</w:t>
      </w:r>
      <w:r>
        <w:rPr>
          <w:rFonts w:hint="default" w:ascii="Times New Roman" w:hAnsi="Times New Roman" w:eastAsia="仿宋_GB2312" w:cs="Times New Roman"/>
          <w:kern w:val="0"/>
          <w:sz w:val="32"/>
          <w:szCs w:val="32"/>
          <w:lang w:val="en-US" w:eastAsia="zh-CN" w:bidi="ar"/>
        </w:rPr>
        <w:t>1995</w:t>
      </w:r>
      <w:r>
        <w:rPr>
          <w:rFonts w:hint="eastAsia" w:ascii="仿宋_GB2312" w:hAnsi="Times New Roman" w:eastAsia="仿宋_GB2312" w:cs="仿宋_GB2312"/>
          <w:kern w:val="0"/>
          <w:sz w:val="32"/>
          <w:szCs w:val="32"/>
          <w:lang w:val="en-US" w:eastAsia="zh-CN" w:bidi="ar"/>
        </w:rPr>
        <w:t>年开展法律援助工作以来，经过不断探索实践，积极累了丰富的法律援助工作经验。</w:t>
      </w:r>
      <w:r>
        <w:rPr>
          <w:rFonts w:hint="default" w:ascii="Times New Roman" w:hAnsi="Times New Roman" w:eastAsia="仿宋_GB2312" w:cs="Times New Roman"/>
          <w:kern w:val="0"/>
          <w:sz w:val="32"/>
          <w:szCs w:val="32"/>
          <w:lang w:val="en-US" w:eastAsia="zh-CN" w:bidi="ar"/>
        </w:rPr>
        <w:t>2001</w:t>
      </w:r>
      <w:r>
        <w:rPr>
          <w:rFonts w:hint="eastAsia" w:ascii="仿宋_GB2312" w:hAnsi="Times New Roman" w:eastAsia="仿宋_GB2312" w:cs="仿宋_GB2312"/>
          <w:kern w:val="0"/>
          <w:sz w:val="32"/>
          <w:szCs w:val="32"/>
          <w:lang w:val="en-US" w:eastAsia="zh-CN" w:bidi="ar"/>
        </w:rPr>
        <w:t>年在全国较早地开展法律援助地方立法，制定出台《江苏省法律援助条例》（简称《条例》），并于</w:t>
      </w:r>
      <w:r>
        <w:rPr>
          <w:rFonts w:hint="default" w:ascii="Times New Roman" w:hAnsi="Times New Roman" w:eastAsia="仿宋_GB2312" w:cs="Times New Roman"/>
          <w:kern w:val="0"/>
          <w:sz w:val="32"/>
          <w:szCs w:val="32"/>
          <w:lang w:val="en-US" w:eastAsia="zh-CN" w:bidi="ar"/>
        </w:rPr>
        <w:t>2005</w:t>
      </w:r>
      <w:r>
        <w:rPr>
          <w:rFonts w:hint="eastAsia" w:ascii="仿宋_GB2312" w:hAnsi="Times New Roman" w:eastAsia="仿宋_GB2312" w:cs="仿宋_GB2312"/>
          <w:kern w:val="0"/>
          <w:sz w:val="32"/>
          <w:szCs w:val="32"/>
          <w:lang w:val="en-US" w:eastAsia="zh-CN" w:bidi="ar"/>
        </w:rPr>
        <w:t>年进行了修订。《条例》为进一步加强我省法律援助工作、提高法律援助质量、保障公民合法权益起到了积极的促进和保障作用。近二十年来，随着经济社会和任务形势的发展变化，特别是</w:t>
      </w:r>
      <w:r>
        <w:rPr>
          <w:rFonts w:hint="default" w:ascii="Times New Roman" w:hAnsi="Times New Roman" w:eastAsia="仿宋_GB2312" w:cs="Times New Roman"/>
          <w:kern w:val="0"/>
          <w:sz w:val="32"/>
          <w:szCs w:val="32"/>
          <w:lang w:val="en-US" w:eastAsia="zh-CN" w:bidi="ar"/>
        </w:rPr>
        <w:t>2021</w:t>
      </w:r>
      <w:r>
        <w:rPr>
          <w:rFonts w:hint="eastAsia" w:ascii="仿宋_GB2312" w:hAnsi="Times New Roman" w:eastAsia="仿宋_GB2312" w:cs="仿宋_GB2312"/>
          <w:kern w:val="0"/>
          <w:sz w:val="32"/>
          <w:szCs w:val="32"/>
          <w:lang w:val="en-US" w:eastAsia="zh-CN" w:bidi="ar"/>
        </w:rPr>
        <w:t>年法律援助法出台之后，《条例》相关内容需要进一步修改完善。主要是修改与国家立法不一致的内容，总结固化我省法律援助工作经验、特点，解决制约法律援助事业发展一些制度性障碍，推动我省法律援助工作高质量发展。</w:t>
      </w:r>
      <w:r>
        <w:rPr>
          <w:rFonts w:hint="eastAsia" w:ascii="仿宋_GB2312" w:hAnsi="Calibri" w:eastAsia="仿宋_GB2312" w:cs="仿宋_GB2312"/>
          <w:b/>
          <w:bCs/>
          <w:kern w:val="2"/>
          <w:sz w:val="32"/>
          <w:szCs w:val="32"/>
          <w:lang w:val="en-US" w:eastAsia="zh-CN" w:bidi="ar"/>
        </w:rPr>
        <w:t>（责任单位：省人大</w:t>
      </w:r>
      <w:r>
        <w:rPr>
          <w:rFonts w:hint="default" w:ascii="仿宋_GB2312" w:hAnsi="Calibri" w:eastAsia="仿宋_GB2312" w:cs="仿宋_GB2312"/>
          <w:b/>
          <w:bCs/>
          <w:kern w:val="2"/>
          <w:sz w:val="32"/>
          <w:szCs w:val="32"/>
          <w:lang w:val="en-US" w:eastAsia="zh-CN" w:bidi="ar"/>
        </w:rPr>
        <w:t xml:space="preserve">  </w:t>
      </w:r>
      <w:r>
        <w:rPr>
          <w:rFonts w:hint="eastAsia" w:ascii="仿宋_GB2312" w:hAnsi="Calibri" w:eastAsia="仿宋_GB2312" w:cs="仿宋_GB2312"/>
          <w:b/>
          <w:bCs/>
          <w:kern w:val="2"/>
          <w:sz w:val="32"/>
          <w:szCs w:val="32"/>
          <w:lang w:val="en-US" w:eastAsia="zh-CN" w:bidi="ar"/>
        </w:rPr>
        <w:t>省司法厅）</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五、推进信访工作法治化，切实解决群众急难愁盼问题。</w:t>
      </w:r>
      <w:r>
        <w:rPr>
          <w:rFonts w:hint="eastAsia" w:ascii="仿宋_GB2312" w:hAnsi="Times New Roman" w:eastAsia="仿宋_GB2312" w:cs="仿宋_GB2312"/>
          <w:kern w:val="0"/>
          <w:sz w:val="32"/>
          <w:szCs w:val="32"/>
          <w:lang w:val="en-US" w:eastAsia="zh-CN" w:bidi="ar"/>
        </w:rPr>
        <w:t>推进信访工作法治化是深入贯彻习近平法治思想、习近平总书记关于加强和改进人民信访工作的重要思想的内在要求，是履行信访工作为民解难、为党分忧政治责任的重要举措。聚焦</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权责明、底数清、依法办、秩序好、群众满意</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目标，以把为人民服务落到实处为根本，以职能部门履职尽责为重点，以强化监督追责为关键，以信访信息化建设为基础，聚力推进预防、受理、办理、监督追责、维护秩序</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五个法治化</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，努力实现群众每一项诉求都有人办理、群众每一项诉求都依法推进。深入学习贯彻《信访工作条例》，推广使用信访法治化工作指南和</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路线图</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，优化完善访调对接工作机制，改进统计、通报、考核办法，开展法治宣传，举办业务培训，组织规范化评查，加强指导督查，依法规范信访工作和群众信访行为，维护群众合法权益。全面畅通信访渠道，打造</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家门口</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信访服务体系，推进基层信访融入</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一站式</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平台，加强标准化信息化建设，及时就地解决初信初访，常态化解信访积案，开展重点领域矛盾攻坚，解决好群众信访诉求，增强群众获得感幸福感安全感。</w:t>
      </w:r>
      <w:r>
        <w:rPr>
          <w:rFonts w:hint="eastAsia" w:ascii="仿宋_GB2312" w:hAnsi="Calibri" w:eastAsia="仿宋_GB2312" w:cs="仿宋_GB2312"/>
          <w:b/>
          <w:bCs/>
          <w:kern w:val="2"/>
          <w:sz w:val="32"/>
          <w:szCs w:val="32"/>
          <w:lang w:val="en-US" w:eastAsia="zh-CN" w:bidi="ar"/>
        </w:rPr>
        <w:t>（责任单位：省信访局）</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六、全省轻微交通事故视频快速处置。</w:t>
      </w:r>
      <w:r>
        <w:rPr>
          <w:rFonts w:hint="eastAsia" w:ascii="仿宋_GB2312" w:hAnsi="Times New Roman" w:eastAsia="仿宋_GB2312" w:cs="仿宋_GB2312"/>
          <w:kern w:val="0"/>
          <w:sz w:val="32"/>
          <w:szCs w:val="32"/>
          <w:lang w:val="en-US" w:eastAsia="zh-CN" w:bidi="ar"/>
        </w:rPr>
        <w:t>对事故处理“流程多、手续繁、时间长”问题，通过视频通话方式，对轻微交通事故开展线上事故勘验、证据收集、人员信息确认、事故责任认定等工作，实现轻微交通事故快处快办，大大提高处置效率，减少群众处理成本，并有效缓解因轻微交通事故引发的交通拥堵，减少二次事故。</w:t>
      </w:r>
      <w:r>
        <w:rPr>
          <w:rFonts w:hint="eastAsia" w:ascii="仿宋_GB2312" w:hAnsi="Calibri" w:eastAsia="仿宋_GB2312" w:cs="仿宋_GB2312"/>
          <w:b/>
          <w:bCs/>
          <w:kern w:val="2"/>
          <w:sz w:val="32"/>
          <w:szCs w:val="32"/>
          <w:lang w:val="en-US" w:eastAsia="zh-CN" w:bidi="ar"/>
        </w:rPr>
        <w:t>（责任单位：省公安厅）</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七、开展住房公积金及住宅专项维修资金等民生资金审计。</w:t>
      </w:r>
      <w:r>
        <w:rPr>
          <w:rFonts w:hint="eastAsia" w:ascii="仿宋_GB2312" w:hAnsi="Times New Roman" w:eastAsia="仿宋_GB2312" w:cs="仿宋_GB2312"/>
          <w:kern w:val="0"/>
          <w:sz w:val="32"/>
          <w:szCs w:val="32"/>
          <w:lang w:val="en-US" w:eastAsia="zh-CN" w:bidi="ar"/>
        </w:rPr>
        <w:t>习近平总书记在</w:t>
      </w:r>
      <w:r>
        <w:rPr>
          <w:rFonts w:hint="default" w:ascii="Times New Roman" w:hAnsi="Times New Roman" w:eastAsia="仿宋_GB2312" w:cs="Times New Roman"/>
          <w:kern w:val="0"/>
          <w:sz w:val="32"/>
          <w:szCs w:val="32"/>
          <w:lang w:val="en-US" w:eastAsia="zh-CN" w:bidi="ar"/>
        </w:rPr>
        <w:t xml:space="preserve"> </w:t>
      </w:r>
      <w:r>
        <w:rPr>
          <w:rFonts w:hint="eastAsia" w:ascii="仿宋_GB2312" w:hAnsi="Times New Roman" w:eastAsia="仿宋_GB2312" w:cs="仿宋_GB2312"/>
          <w:kern w:val="0"/>
          <w:sz w:val="32"/>
          <w:szCs w:val="32"/>
          <w:lang w:val="en-US" w:eastAsia="zh-CN" w:bidi="ar"/>
        </w:rPr>
        <w:t>二十届中央审计委员会第一次会议上指出</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审计要紧盯人民群众最关心最直接最现实的利益问题，紧盯民生资金分配使用的关键环节，强化监督检查，推动惠民富民政策落实，维护公平正义，增进民生福祉。</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住房公积金及住宅专项维修资金与每个人密切相关，其筹集、管理、使用以及各项政策是兜住、兜准、兜牢民生底线的重要民生工程，而且资金量巨大，是资金密集、资源集中的领域和环节，因此，</w:t>
      </w:r>
      <w:r>
        <w:rPr>
          <w:rFonts w:hint="default" w:ascii="Times New Roman" w:hAnsi="Times New Roman" w:eastAsia="仿宋_GB2312" w:cs="Times New Roman"/>
          <w:kern w:val="0"/>
          <w:sz w:val="32"/>
          <w:szCs w:val="32"/>
          <w:lang w:val="en-US" w:eastAsia="zh-CN" w:bidi="ar"/>
        </w:rPr>
        <w:t>2024</w:t>
      </w:r>
      <w:r>
        <w:rPr>
          <w:rFonts w:hint="eastAsia" w:ascii="仿宋_GB2312" w:hAnsi="Times New Roman" w:eastAsia="仿宋_GB2312" w:cs="仿宋_GB2312"/>
          <w:kern w:val="0"/>
          <w:sz w:val="32"/>
          <w:szCs w:val="32"/>
          <w:lang w:val="en-US" w:eastAsia="zh-CN" w:bidi="ar"/>
        </w:rPr>
        <w:t>年，江苏省审计厅对住房公积金及住宅专项维修资金开展审计，该项目为审计项目计划中</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围绕贯彻以人民为中心的发展思想，组织开展民生保障和改善审计</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的民生项目板块中的重点项目。项目审计以习近平新时代中国特色社会主义思想为指导，以发挥住房公积金及住宅专项维修资金民生保障作用为出发点和落脚点，立足审计监督首先是经济监督的职能定位，沿着</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政治</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政策</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项目</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资金</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这条主线，聚焦住房公积金及住宅专项维修资金等的归集、使用、管理和监督开展审计监督，突出民生资金审计特点。切实从人民利益守护者的政治高度，促进相关资金使用的方便快捷、公开透明。通过本次审计摸清底数、揭示问题和风险，推动健全监管制度，支持刚需和改善性住房需求，推动保障住宅建筑物的安全和正常使用、提升居民居住水平，促进住房公积金及住宅专项维修资金各项民生工程和民心政策落地落实，助力解决人民群众急难愁盼问题，更好地服务中国式现代化江苏新实践。</w:t>
      </w:r>
      <w:r>
        <w:rPr>
          <w:rFonts w:hint="eastAsia" w:ascii="仿宋_GB2312" w:hAnsi="Calibri" w:eastAsia="仿宋_GB2312" w:cs="仿宋_GB2312"/>
          <w:b/>
          <w:bCs/>
          <w:kern w:val="2"/>
          <w:sz w:val="32"/>
          <w:szCs w:val="32"/>
          <w:lang w:val="en-US" w:eastAsia="zh-CN" w:bidi="ar"/>
        </w:rPr>
        <w:t>（责任单位：省审计厅）</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黑体" w:hAnsi="宋体" w:eastAsia="黑体" w:cs="黑体"/>
          <w:kern w:val="2"/>
          <w:sz w:val="32"/>
          <w:szCs w:val="32"/>
          <w:lang w:val="en-US" w:eastAsia="zh-CN" w:bidi="ar"/>
        </w:rPr>
        <w:t>八、健全检察司法救助与社会救助衔接机制。</w:t>
      </w:r>
      <w:r>
        <w:rPr>
          <w:rFonts w:hint="eastAsia" w:ascii="仿宋_GB2312" w:hAnsi="Times New Roman" w:eastAsia="仿宋_GB2312" w:cs="仿宋_GB2312"/>
          <w:kern w:val="0"/>
          <w:sz w:val="32"/>
          <w:szCs w:val="32"/>
          <w:lang w:val="en-US" w:eastAsia="zh-CN" w:bidi="ar"/>
        </w:rPr>
        <w:t>在省级层面会同省民政厅、妇联、退役军人事务厅、残联等单位建立协调联动机制，畅通社会救助线索移送和情况反馈通道，确保检察机关在办理司法救助案件中，及时发现需要协调有关部门对救助申请人予以社会救助的线索，及时移交相关单位协调救助帮扶，形成救助工作合力，有效提升救助工作质效，让救助申请人切实感受到党和国家温暖。坚持问题导向，及时开展调研，主动走访民政、妇联、退役军人事务、残联等单位，全面梳理本地区司法救助与社会救助衔接机制建设情况，总结经验做法，查找问题不足，找准工作着力点。将惠民实事与</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司法救助助力全面推进乡村振兴</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关注困难妇女群体，加强专项司法救助</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专项行动结合起来，落实好季报告、季通报制度，确保实现两个百分百。对各设区市院推进情况进行督导检查，发布全省检察机关司法救助衔接社会救助典型案例。</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仿宋_GB2312" w:hAnsi="Times New Roman" w:eastAsia="仿宋_GB2312" w:cs="仿宋_GB2312"/>
          <w:kern w:val="0"/>
          <w:sz w:val="32"/>
          <w:szCs w:val="32"/>
          <w:lang w:val="en-US" w:eastAsia="zh-CN" w:bidi="ar"/>
        </w:rPr>
        <w:t>年度目标：实现三级检察院移送线索社会救助率</w:t>
      </w:r>
      <w:r>
        <w:rPr>
          <w:rFonts w:hint="default" w:ascii="Times New Roman" w:hAnsi="Times New Roman" w:eastAsia="仿宋_GB2312" w:cs="Times New Roman"/>
          <w:kern w:val="0"/>
          <w:sz w:val="32"/>
          <w:szCs w:val="32"/>
          <w:lang w:val="en-US" w:eastAsia="zh-CN" w:bidi="ar"/>
        </w:rPr>
        <w:t>100%</w:t>
      </w:r>
      <w:r>
        <w:rPr>
          <w:rFonts w:hint="eastAsia" w:ascii="仿宋_GB2312" w:hAnsi="Times New Roman" w:eastAsia="仿宋_GB2312" w:cs="仿宋_GB2312"/>
          <w:kern w:val="0"/>
          <w:sz w:val="32"/>
          <w:szCs w:val="32"/>
          <w:lang w:val="en-US" w:eastAsia="zh-CN" w:bidi="ar"/>
        </w:rPr>
        <w:t>，社会救助情况反馈率</w:t>
      </w:r>
      <w:r>
        <w:rPr>
          <w:rFonts w:hint="default" w:ascii="Times New Roman" w:hAnsi="Times New Roman" w:eastAsia="仿宋_GB2312" w:cs="Times New Roman"/>
          <w:kern w:val="0"/>
          <w:sz w:val="32"/>
          <w:szCs w:val="32"/>
          <w:lang w:val="en-US" w:eastAsia="zh-CN" w:bidi="ar"/>
        </w:rPr>
        <w:t>100%</w:t>
      </w:r>
      <w:r>
        <w:rPr>
          <w:rFonts w:hint="eastAsia" w:ascii="仿宋_GB2312" w:hAnsi="Times New Roman" w:eastAsia="仿宋_GB2312" w:cs="仿宋_GB2312"/>
          <w:kern w:val="0"/>
          <w:sz w:val="32"/>
          <w:szCs w:val="32"/>
          <w:lang w:val="en-US" w:eastAsia="zh-CN" w:bidi="ar"/>
        </w:rPr>
        <w:t>。</w:t>
      </w:r>
      <w:r>
        <w:rPr>
          <w:rFonts w:hint="eastAsia" w:ascii="仿宋_GB2312" w:hAnsi="Calibri" w:eastAsia="仿宋_GB2312" w:cs="仿宋_GB2312"/>
          <w:b/>
          <w:bCs/>
          <w:kern w:val="2"/>
          <w:sz w:val="32"/>
          <w:szCs w:val="32"/>
          <w:lang w:val="en-US" w:eastAsia="zh-CN" w:bidi="ar"/>
        </w:rPr>
        <w:t>（责任单位：省检察院）</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九、生态环境损害赔偿与清洁生产替代修复制度探索。</w:t>
      </w:r>
      <w:r>
        <w:rPr>
          <w:rFonts w:hint="eastAsia" w:ascii="仿宋_GB2312" w:hAnsi="Times New Roman" w:eastAsia="仿宋_GB2312" w:cs="仿宋_GB2312"/>
          <w:kern w:val="0"/>
          <w:sz w:val="32"/>
          <w:szCs w:val="32"/>
          <w:lang w:val="en-US" w:eastAsia="zh-CN" w:bidi="ar"/>
        </w:rPr>
        <w:t>深省生态环境厅关于落实《关于推进生态环境损害赔偿制度改革若干具体问题的意见》的通知（苏环办﹝</w:t>
      </w:r>
      <w:r>
        <w:rPr>
          <w:rFonts w:hint="default" w:ascii="Times New Roman" w:hAnsi="Times New Roman" w:eastAsia="仿宋_GB2312" w:cs="Times New Roman"/>
          <w:kern w:val="0"/>
          <w:sz w:val="32"/>
          <w:szCs w:val="32"/>
          <w:lang w:val="en-US" w:eastAsia="zh-CN" w:bidi="ar"/>
        </w:rPr>
        <w:t>2020</w:t>
      </w:r>
      <w:r>
        <w:rPr>
          <w:rFonts w:hint="eastAsia" w:ascii="仿宋_GB2312" w:hAnsi="Times New Roman" w:eastAsia="仿宋_GB2312" w:cs="仿宋_GB2312"/>
          <w:kern w:val="0"/>
          <w:sz w:val="32"/>
          <w:szCs w:val="32"/>
          <w:lang w:val="en-US" w:eastAsia="zh-CN" w:bidi="ar"/>
        </w:rPr>
        <w:t>﹞</w:t>
      </w:r>
      <w:r>
        <w:rPr>
          <w:rFonts w:hint="default" w:ascii="Times New Roman" w:hAnsi="Times New Roman" w:eastAsia="仿宋_GB2312" w:cs="Times New Roman"/>
          <w:kern w:val="0"/>
          <w:sz w:val="32"/>
          <w:szCs w:val="32"/>
          <w:lang w:val="en-US" w:eastAsia="zh-CN" w:bidi="ar"/>
        </w:rPr>
        <w:t>346</w:t>
      </w:r>
      <w:r>
        <w:rPr>
          <w:rFonts w:hint="eastAsia" w:ascii="仿宋_GB2312" w:hAnsi="Times New Roman" w:eastAsia="仿宋_GB2312" w:cs="仿宋_GB2312"/>
          <w:kern w:val="0"/>
          <w:sz w:val="32"/>
          <w:szCs w:val="32"/>
          <w:lang w:val="en-US" w:eastAsia="zh-CN" w:bidi="ar"/>
        </w:rPr>
        <w:t>号），鼓励赔偿义务人在应当履行的法定义务之外，主动提高污染治理标准，主动改进污染治理工艺（或采取有效措施）减少污染物排放，扩大环境治理修复范围。《关于贯彻落实生态环境损害赔偿管理规定的实施意见》（苏环规﹝</w:t>
      </w:r>
      <w:r>
        <w:rPr>
          <w:rFonts w:hint="default" w:ascii="Times New Roman" w:hAnsi="Times New Roman" w:eastAsia="仿宋_GB2312" w:cs="Times New Roman"/>
          <w:kern w:val="0"/>
          <w:sz w:val="32"/>
          <w:szCs w:val="32"/>
          <w:lang w:val="en-US" w:eastAsia="zh-CN" w:bidi="ar"/>
        </w:rPr>
        <w:t>2023</w:t>
      </w:r>
      <w:r>
        <w:rPr>
          <w:rFonts w:hint="eastAsia" w:ascii="仿宋_GB2312" w:hAnsi="Times New Roman" w:eastAsia="仿宋_GB2312" w:cs="仿宋_GB2312"/>
          <w:kern w:val="0"/>
          <w:sz w:val="32"/>
          <w:szCs w:val="32"/>
          <w:lang w:val="en-US" w:eastAsia="zh-CN" w:bidi="ar"/>
        </w:rPr>
        <w:t>﹞</w:t>
      </w:r>
      <w:r>
        <w:rPr>
          <w:rFonts w:hint="default" w:ascii="Times New Roman" w:hAnsi="Times New Roman" w:eastAsia="仿宋_GB2312" w:cs="Times New Roman"/>
          <w:kern w:val="0"/>
          <w:sz w:val="32"/>
          <w:szCs w:val="32"/>
          <w:lang w:val="en-US" w:eastAsia="zh-CN" w:bidi="ar"/>
        </w:rPr>
        <w:t>1</w:t>
      </w:r>
      <w:r>
        <w:rPr>
          <w:rFonts w:hint="eastAsia" w:ascii="仿宋_GB2312" w:hAnsi="Times New Roman" w:eastAsia="仿宋_GB2312" w:cs="仿宋_GB2312"/>
          <w:kern w:val="0"/>
          <w:sz w:val="32"/>
          <w:szCs w:val="32"/>
          <w:lang w:val="en-US" w:eastAsia="zh-CN" w:bidi="ar"/>
        </w:rPr>
        <w:t>号），倡导形式多样的赔偿方式。鼓励赔偿义务人在履行法定义务之外，进一步节约资源，削减污染物排放量，提高清洁生产水平。下一步，拟通过生态环境损害赔偿助推涉案企业提升清洁生产水平，优化营商环境，助力高质量发展。</w:t>
      </w:r>
      <w:r>
        <w:rPr>
          <w:rFonts w:hint="eastAsia" w:ascii="仿宋_GB2312" w:hAnsi="Calibri" w:eastAsia="仿宋_GB2312" w:cs="仿宋_GB2312"/>
          <w:b/>
          <w:bCs/>
          <w:kern w:val="2"/>
          <w:sz w:val="32"/>
          <w:szCs w:val="32"/>
          <w:lang w:val="en-US" w:eastAsia="zh-CN" w:bidi="ar"/>
        </w:rPr>
        <w:t>（责任单位：省生态环境厅）</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十、优化升级市场监管领域轻微违法行为免罚轻罚机制。</w:t>
      </w:r>
      <w:r>
        <w:rPr>
          <w:rFonts w:hint="default" w:ascii="Times New Roman" w:hAnsi="Times New Roman" w:eastAsia="仿宋_GB2312" w:cs="Times New Roman"/>
          <w:kern w:val="0"/>
          <w:sz w:val="32"/>
          <w:szCs w:val="32"/>
          <w:lang w:val="en-US" w:eastAsia="zh-CN" w:bidi="ar"/>
        </w:rPr>
        <w:t>2021</w:t>
      </w:r>
      <w:r>
        <w:rPr>
          <w:rFonts w:hint="eastAsia" w:ascii="仿宋_GB2312" w:hAnsi="Times New Roman" w:eastAsia="仿宋_GB2312" w:cs="仿宋_GB2312"/>
          <w:kern w:val="0"/>
          <w:sz w:val="32"/>
          <w:szCs w:val="32"/>
          <w:lang w:val="en-US" w:eastAsia="zh-CN" w:bidi="ar"/>
        </w:rPr>
        <w:t>年</w:t>
      </w:r>
      <w:r>
        <w:rPr>
          <w:rFonts w:hint="default" w:ascii="Times New Roman" w:hAnsi="Times New Roman" w:eastAsia="仿宋_GB2312" w:cs="Times New Roman"/>
          <w:kern w:val="0"/>
          <w:sz w:val="32"/>
          <w:szCs w:val="32"/>
          <w:lang w:val="en-US" w:eastAsia="zh-CN" w:bidi="ar"/>
        </w:rPr>
        <w:t>12</w:t>
      </w:r>
      <w:r>
        <w:rPr>
          <w:rFonts w:hint="eastAsia" w:ascii="仿宋_GB2312" w:hAnsi="Times New Roman" w:eastAsia="仿宋_GB2312" w:cs="仿宋_GB2312"/>
          <w:kern w:val="0"/>
          <w:sz w:val="32"/>
          <w:szCs w:val="32"/>
          <w:lang w:val="en-US" w:eastAsia="zh-CN" w:bidi="ar"/>
        </w:rPr>
        <w:t>月，我局出台</w:t>
      </w:r>
      <w:r>
        <w:rPr>
          <w:rFonts w:hint="default" w:ascii="Times New Roman" w:hAnsi="Times New Roman" w:eastAsia="仿宋_GB2312" w:cs="Times New Roman"/>
          <w:kern w:val="0"/>
          <w:sz w:val="32"/>
          <w:szCs w:val="32"/>
          <w:lang w:val="en-US" w:eastAsia="zh-CN" w:bidi="ar"/>
        </w:rPr>
        <w:t>2.0</w:t>
      </w:r>
      <w:r>
        <w:rPr>
          <w:rFonts w:hint="eastAsia" w:ascii="仿宋_GB2312" w:hAnsi="Times New Roman" w:eastAsia="仿宋_GB2312" w:cs="仿宋_GB2312"/>
          <w:kern w:val="0"/>
          <w:sz w:val="32"/>
          <w:szCs w:val="32"/>
          <w:lang w:val="en-US" w:eastAsia="zh-CN" w:bidi="ar"/>
        </w:rPr>
        <w:t>版《江苏省市场监管领域轻微违法行为不予处罚和从轻减轻处罚规定》，在全国首次细化</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违法行为轻微</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等五个方面的裁量因素，将不予处罚清单扩充至</w:t>
      </w:r>
      <w:r>
        <w:rPr>
          <w:rFonts w:hint="default" w:ascii="Times New Roman" w:hAnsi="Times New Roman" w:eastAsia="仿宋_GB2312" w:cs="Times New Roman"/>
          <w:kern w:val="0"/>
          <w:sz w:val="32"/>
          <w:szCs w:val="32"/>
          <w:lang w:val="en-US" w:eastAsia="zh-CN" w:bidi="ar"/>
        </w:rPr>
        <w:t>55</w:t>
      </w:r>
      <w:r>
        <w:rPr>
          <w:rFonts w:hint="eastAsia" w:ascii="仿宋_GB2312" w:hAnsi="Times New Roman" w:eastAsia="仿宋_GB2312" w:cs="仿宋_GB2312"/>
          <w:kern w:val="0"/>
          <w:sz w:val="32"/>
          <w:szCs w:val="32"/>
          <w:lang w:val="en-US" w:eastAsia="zh-CN" w:bidi="ar"/>
        </w:rPr>
        <w:t>项，并建立全国首个省级市场监管部门减轻处罚清单。</w:t>
      </w:r>
      <w:r>
        <w:rPr>
          <w:rFonts w:hint="default" w:ascii="Times New Roman" w:hAnsi="Times New Roman" w:eastAsia="仿宋_GB2312" w:cs="Times New Roman"/>
          <w:kern w:val="0"/>
          <w:sz w:val="32"/>
          <w:szCs w:val="32"/>
          <w:lang w:val="en-US" w:eastAsia="zh-CN" w:bidi="ar"/>
        </w:rPr>
        <w:t>2022</w:t>
      </w:r>
      <w:r>
        <w:rPr>
          <w:rFonts w:hint="eastAsia" w:ascii="仿宋_GB2312" w:hAnsi="Times New Roman" w:eastAsia="仿宋_GB2312" w:cs="仿宋_GB2312"/>
          <w:kern w:val="0"/>
          <w:sz w:val="32"/>
          <w:szCs w:val="32"/>
          <w:lang w:val="en-US" w:eastAsia="zh-CN" w:bidi="ar"/>
        </w:rPr>
        <w:t>年以来全省先后办理免罚轻罚案件</w:t>
      </w:r>
      <w:r>
        <w:rPr>
          <w:rFonts w:hint="default" w:ascii="Times New Roman" w:hAnsi="Times New Roman" w:eastAsia="仿宋_GB2312" w:cs="Times New Roman"/>
          <w:kern w:val="0"/>
          <w:sz w:val="32"/>
          <w:szCs w:val="32"/>
          <w:lang w:val="en-US" w:eastAsia="zh-CN" w:bidi="ar"/>
        </w:rPr>
        <w:t>44425</w:t>
      </w:r>
      <w:r>
        <w:rPr>
          <w:rFonts w:hint="eastAsia" w:ascii="仿宋_GB2312" w:hAnsi="Times New Roman" w:eastAsia="仿宋_GB2312" w:cs="仿宋_GB2312"/>
          <w:kern w:val="0"/>
          <w:sz w:val="32"/>
          <w:szCs w:val="32"/>
          <w:lang w:val="en-US" w:eastAsia="zh-CN" w:bidi="ar"/>
        </w:rPr>
        <w:t>件，占行政处罚案件总数的</w:t>
      </w:r>
      <w:r>
        <w:rPr>
          <w:rFonts w:hint="default" w:ascii="Times New Roman" w:hAnsi="Times New Roman" w:eastAsia="仿宋_GB2312" w:cs="Times New Roman"/>
          <w:kern w:val="0"/>
          <w:sz w:val="32"/>
          <w:szCs w:val="32"/>
          <w:lang w:val="en-US" w:eastAsia="zh-CN" w:bidi="ar"/>
        </w:rPr>
        <w:t>31.01%</w:t>
      </w:r>
      <w:r>
        <w:rPr>
          <w:rFonts w:hint="eastAsia" w:ascii="仿宋_GB2312" w:hAnsi="Times New Roman" w:eastAsia="仿宋_GB2312" w:cs="仿宋_GB2312"/>
          <w:kern w:val="0"/>
          <w:sz w:val="32"/>
          <w:szCs w:val="32"/>
          <w:lang w:val="en-US" w:eastAsia="zh-CN" w:bidi="ar"/>
        </w:rPr>
        <w:t>，共计减免金额</w:t>
      </w:r>
      <w:r>
        <w:rPr>
          <w:rFonts w:hint="default" w:ascii="Times New Roman" w:hAnsi="Times New Roman" w:eastAsia="仿宋_GB2312" w:cs="Times New Roman"/>
          <w:kern w:val="0"/>
          <w:sz w:val="32"/>
          <w:szCs w:val="32"/>
          <w:lang w:val="en-US" w:eastAsia="zh-CN" w:bidi="ar"/>
        </w:rPr>
        <w:t>32.26</w:t>
      </w:r>
      <w:r>
        <w:rPr>
          <w:rFonts w:hint="eastAsia" w:ascii="仿宋_GB2312" w:hAnsi="Times New Roman" w:eastAsia="仿宋_GB2312" w:cs="仿宋_GB2312"/>
          <w:kern w:val="0"/>
          <w:sz w:val="32"/>
          <w:szCs w:val="32"/>
          <w:lang w:val="en-US" w:eastAsia="zh-CN" w:bidi="ar"/>
        </w:rPr>
        <w:t>亿元。免罚轻罚相关工作获得全省法治建设创新奖等多项荣誉，被人民日报等媒体专题报道，有关信息被国务院采用。经验做法在长三角全域推广应用，被总局表扬。近年来，随着上位法规、政策文件的不断制修订，免罚轻罚工作面临新形势、新要求，</w:t>
      </w:r>
      <w:r>
        <w:rPr>
          <w:rFonts w:hint="default" w:ascii="Times New Roman" w:hAnsi="Times New Roman" w:eastAsia="仿宋_GB2312" w:cs="Times New Roman"/>
          <w:kern w:val="0"/>
          <w:sz w:val="32"/>
          <w:szCs w:val="32"/>
          <w:lang w:val="en-US" w:eastAsia="zh-CN" w:bidi="ar"/>
        </w:rPr>
        <w:t>2024</w:t>
      </w:r>
      <w:r>
        <w:rPr>
          <w:rFonts w:hint="eastAsia" w:ascii="仿宋_GB2312" w:hAnsi="Times New Roman" w:eastAsia="仿宋_GB2312" w:cs="仿宋_GB2312"/>
          <w:kern w:val="0"/>
          <w:sz w:val="32"/>
          <w:szCs w:val="32"/>
          <w:lang w:val="en-US" w:eastAsia="zh-CN" w:bidi="ar"/>
        </w:rPr>
        <w:t>年拟对</w:t>
      </w:r>
      <w:r>
        <w:rPr>
          <w:rFonts w:hint="default" w:ascii="Times New Roman" w:hAnsi="Times New Roman" w:eastAsia="仿宋_GB2312" w:cs="Times New Roman"/>
          <w:kern w:val="0"/>
          <w:sz w:val="32"/>
          <w:szCs w:val="32"/>
          <w:lang w:val="en-US" w:eastAsia="zh-CN" w:bidi="ar"/>
        </w:rPr>
        <w:t>2.0</w:t>
      </w:r>
      <w:r>
        <w:rPr>
          <w:rFonts w:hint="eastAsia" w:ascii="仿宋_GB2312" w:hAnsi="Times New Roman" w:eastAsia="仿宋_GB2312" w:cs="仿宋_GB2312"/>
          <w:kern w:val="0"/>
          <w:sz w:val="32"/>
          <w:szCs w:val="32"/>
          <w:lang w:val="en-US" w:eastAsia="zh-CN" w:bidi="ar"/>
        </w:rPr>
        <w:t>版规定提档升级，出台</w:t>
      </w:r>
      <w:r>
        <w:rPr>
          <w:rFonts w:hint="default" w:ascii="Times New Roman" w:hAnsi="Times New Roman" w:eastAsia="仿宋_GB2312" w:cs="Times New Roman"/>
          <w:kern w:val="0"/>
          <w:sz w:val="32"/>
          <w:szCs w:val="32"/>
          <w:lang w:val="en-US" w:eastAsia="zh-CN" w:bidi="ar"/>
        </w:rPr>
        <w:t>3.0</w:t>
      </w:r>
      <w:r>
        <w:rPr>
          <w:rFonts w:hint="eastAsia" w:ascii="仿宋_GB2312" w:hAnsi="Times New Roman" w:eastAsia="仿宋_GB2312" w:cs="仿宋_GB2312"/>
          <w:kern w:val="0"/>
          <w:sz w:val="32"/>
          <w:szCs w:val="32"/>
          <w:lang w:val="en-US" w:eastAsia="zh-CN" w:bidi="ar"/>
        </w:rPr>
        <w:t>版规定，进一步深化轻微违法行为包容审慎监管，优化法治化营商环境，增强经营主体和人民群众法治获得感。此项工作被纳入省政府年度重点工作。</w:t>
      </w:r>
      <w:r>
        <w:rPr>
          <w:rFonts w:hint="default" w:ascii="Times New Roman" w:hAnsi="Times New Roman" w:eastAsia="仿宋_GB2312" w:cs="Times New Roman"/>
          <w:kern w:val="0"/>
          <w:sz w:val="32"/>
          <w:szCs w:val="32"/>
          <w:lang w:val="en-US" w:eastAsia="zh-CN" w:bidi="ar"/>
        </w:rPr>
        <w:t>3.0</w:t>
      </w:r>
      <w:r>
        <w:rPr>
          <w:rFonts w:hint="eastAsia" w:ascii="仿宋_GB2312" w:hAnsi="Times New Roman" w:eastAsia="仿宋_GB2312" w:cs="仿宋_GB2312"/>
          <w:kern w:val="0"/>
          <w:sz w:val="32"/>
          <w:szCs w:val="32"/>
          <w:lang w:val="en-US" w:eastAsia="zh-CN" w:bidi="ar"/>
        </w:rPr>
        <w:t>版本规定拟从以下方面作出努力：</w:t>
      </w:r>
      <w:r>
        <w:rPr>
          <w:rFonts w:hint="default" w:ascii="Times New Roman" w:hAnsi="Times New Roman" w:eastAsia="仿宋_GB2312" w:cs="Times New Roman"/>
          <w:kern w:val="0"/>
          <w:sz w:val="32"/>
          <w:szCs w:val="32"/>
          <w:lang w:val="en-US" w:eastAsia="zh-CN" w:bidi="ar"/>
        </w:rPr>
        <w:t>1.</w:t>
      </w:r>
      <w:r>
        <w:rPr>
          <w:rFonts w:hint="eastAsia" w:ascii="仿宋_GB2312" w:hAnsi="Times New Roman" w:eastAsia="仿宋_GB2312" w:cs="仿宋_GB2312"/>
          <w:kern w:val="0"/>
          <w:sz w:val="32"/>
          <w:szCs w:val="32"/>
          <w:lang w:val="en-US" w:eastAsia="zh-CN" w:bidi="ar"/>
        </w:rPr>
        <w:t>结合全省大力开展涉企行政合规指导的工作背景，在新版本规定中有机融入涉企行政合规指导相关精神和要求；</w:t>
      </w:r>
      <w:r>
        <w:rPr>
          <w:rFonts w:hint="default" w:ascii="Times New Roman" w:hAnsi="Times New Roman" w:eastAsia="仿宋_GB2312" w:cs="Times New Roman"/>
          <w:kern w:val="0"/>
          <w:sz w:val="32"/>
          <w:szCs w:val="32"/>
          <w:lang w:val="en-US" w:eastAsia="zh-CN" w:bidi="ar"/>
        </w:rPr>
        <w:t>2.</w:t>
      </w:r>
      <w:r>
        <w:rPr>
          <w:rFonts w:hint="eastAsia" w:ascii="仿宋_GB2312" w:hAnsi="Times New Roman" w:eastAsia="仿宋_GB2312" w:cs="仿宋_GB2312"/>
          <w:kern w:val="0"/>
          <w:sz w:val="32"/>
          <w:szCs w:val="32"/>
          <w:lang w:val="en-US" w:eastAsia="zh-CN" w:bidi="ar"/>
        </w:rPr>
        <w:t>立足本省实际，总结</w:t>
      </w:r>
      <w:r>
        <w:rPr>
          <w:rFonts w:hint="default" w:ascii="Times New Roman" w:hAnsi="Times New Roman" w:eastAsia="仿宋_GB2312" w:cs="Times New Roman"/>
          <w:kern w:val="0"/>
          <w:sz w:val="32"/>
          <w:szCs w:val="32"/>
          <w:lang w:val="en-US" w:eastAsia="zh-CN" w:bidi="ar"/>
        </w:rPr>
        <w:t>2.0</w:t>
      </w:r>
      <w:r>
        <w:rPr>
          <w:rFonts w:hint="eastAsia" w:ascii="仿宋_GB2312" w:hAnsi="Times New Roman" w:eastAsia="仿宋_GB2312" w:cs="仿宋_GB2312"/>
          <w:kern w:val="0"/>
          <w:sz w:val="32"/>
          <w:szCs w:val="32"/>
          <w:lang w:val="en-US" w:eastAsia="zh-CN" w:bidi="ar"/>
        </w:rPr>
        <w:t>版实施经验，进一步细化免罚轻罚适用情形、完善有关裁量因素的判定标准；</w:t>
      </w:r>
      <w:r>
        <w:rPr>
          <w:rFonts w:hint="default" w:ascii="Times New Roman" w:hAnsi="Times New Roman" w:eastAsia="仿宋_GB2312" w:cs="Times New Roman"/>
          <w:kern w:val="0"/>
          <w:sz w:val="32"/>
          <w:szCs w:val="32"/>
          <w:lang w:val="en-US" w:eastAsia="zh-CN" w:bidi="ar"/>
        </w:rPr>
        <w:t>3.</w:t>
      </w:r>
      <w:r>
        <w:rPr>
          <w:rFonts w:hint="eastAsia" w:ascii="仿宋_GB2312" w:hAnsi="Times New Roman" w:eastAsia="仿宋_GB2312" w:cs="仿宋_GB2312"/>
          <w:kern w:val="0"/>
          <w:sz w:val="32"/>
          <w:szCs w:val="32"/>
          <w:lang w:val="en-US" w:eastAsia="zh-CN" w:bidi="ar"/>
        </w:rPr>
        <w:t>围绕执法实践中高频多发、处罚裁量幅度大、社会热点关注的违法行为，科学扩充清单内容、优化适用条件。</w:t>
      </w:r>
      <w:r>
        <w:rPr>
          <w:rFonts w:hint="eastAsia" w:ascii="仿宋_GB2312" w:hAnsi="Calibri" w:eastAsia="仿宋_GB2312" w:cs="仿宋_GB2312"/>
          <w:b/>
          <w:bCs/>
          <w:kern w:val="2"/>
          <w:sz w:val="32"/>
          <w:szCs w:val="32"/>
          <w:lang w:val="en-US" w:eastAsia="zh-CN" w:bidi="ar"/>
        </w:rPr>
        <w:t>（责任单位：省市场监管局）</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十一、江苏省文化市场法治惠民系列活动。</w:t>
      </w:r>
      <w:r>
        <w:rPr>
          <w:rFonts w:hint="eastAsia" w:ascii="仿宋_GB2312" w:hAnsi="Times New Roman" w:eastAsia="仿宋_GB2312" w:cs="仿宋_GB2312"/>
          <w:kern w:val="0"/>
          <w:sz w:val="32"/>
          <w:szCs w:val="32"/>
          <w:lang w:val="en-US" w:eastAsia="zh-CN" w:bidi="ar"/>
        </w:rPr>
        <w:t>一是依法打击文化市场违法违规行为。围绕重要节假日和敏感节点，部署开展集中执法检查。深化文娱领域专项治理，组织开展旅游市场秩序整治、网络文化市场专项整治等系列执法行动，依法打击各类违法违规行为。二是推进包容审慎执法。深入落实《江苏省文化市场轻微违法行为免罚、一般违法行为从轻减轻处罚清单》，研究制定行政处罚裁量权适用规则。三是开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我为群众办实事</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活动。拓展法治惠民系列活动形式和内容，全省开展主题活动不少于</w:t>
      </w:r>
      <w:r>
        <w:rPr>
          <w:rFonts w:hint="default" w:ascii="Times New Roman" w:hAnsi="Times New Roman" w:eastAsia="仿宋_GB2312" w:cs="Times New Roman"/>
          <w:kern w:val="0"/>
          <w:sz w:val="32"/>
          <w:szCs w:val="32"/>
          <w:lang w:val="en-US" w:eastAsia="zh-CN" w:bidi="ar"/>
        </w:rPr>
        <w:t>100</w:t>
      </w:r>
      <w:r>
        <w:rPr>
          <w:rFonts w:hint="eastAsia" w:ascii="仿宋_GB2312" w:hAnsi="Times New Roman" w:eastAsia="仿宋_GB2312" w:cs="仿宋_GB2312"/>
          <w:kern w:val="0"/>
          <w:sz w:val="32"/>
          <w:szCs w:val="32"/>
          <w:lang w:val="en-US" w:eastAsia="zh-CN" w:bidi="ar"/>
        </w:rPr>
        <w:t>场次。组织执法人员开展志愿服务，强化</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以案释法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和法治宣传，开展普法优秀微视频展播，提升执法公信力和群众满意度。</w:t>
      </w:r>
      <w:r>
        <w:rPr>
          <w:rFonts w:hint="eastAsia" w:ascii="仿宋_GB2312" w:hAnsi="Calibri" w:eastAsia="仿宋_GB2312" w:cs="仿宋_GB2312"/>
          <w:b/>
          <w:bCs/>
          <w:kern w:val="2"/>
          <w:sz w:val="32"/>
          <w:szCs w:val="32"/>
          <w:lang w:val="en-US" w:eastAsia="zh-CN" w:bidi="ar"/>
        </w:rPr>
        <w:t>（责任单位：省文化和旅游厅）</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十二、开展“小标的 大民生”专项执行行动。</w:t>
      </w:r>
      <w:r>
        <w:rPr>
          <w:rFonts w:hint="eastAsia" w:ascii="仿宋_GB2312" w:hAnsi="Times New Roman" w:eastAsia="仿宋_GB2312" w:cs="仿宋_GB2312"/>
          <w:kern w:val="0"/>
          <w:sz w:val="32"/>
          <w:szCs w:val="32"/>
          <w:lang w:val="en-US" w:eastAsia="zh-CN" w:bidi="ar"/>
        </w:rPr>
        <w:t>一些涉民生执行案件虽然案件标的金额小，却是关系群众生活品质、社会和谐稳定的“大民生”。全省法院将全面落实《保障农民工工资支付条例》，围绕工程建设、房地产、餐饮、家政、新就业形态等重点领域，开展涉民生案件和其他小标的案件（含追索农民工工资、其他劳动报酬、赡养费、扶养费、抚育费、抚恤金、医疗损害赔偿、交通事故人身损害赔偿、工伤赔偿等相关案件）集中执行专项行动，集中力量清理未结案件和终本案件，最大限度推动生效裁判执行到位，及时兑现胜诉当事人合法权益，切实解决人民群众涉诉“急难愁盼”，营造和谐稳定的社会环境。</w:t>
      </w:r>
      <w:r>
        <w:rPr>
          <w:rFonts w:hint="eastAsia" w:ascii="仿宋_GB2312" w:hAnsi="Calibri" w:eastAsia="仿宋_GB2312" w:cs="仿宋_GB2312"/>
          <w:b/>
          <w:bCs/>
          <w:kern w:val="2"/>
          <w:sz w:val="32"/>
          <w:szCs w:val="32"/>
          <w:lang w:val="en-US" w:eastAsia="zh-CN" w:bidi="ar"/>
        </w:rPr>
        <w:t>（责任单位：省法院）</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十三、创新主体知识产权纠纷多元调解效力确认机制。</w:t>
      </w:r>
      <w:r>
        <w:rPr>
          <w:rFonts w:hint="eastAsia" w:ascii="仿宋_GB2312" w:hAnsi="Times New Roman" w:eastAsia="仿宋_GB2312" w:cs="仿宋_GB2312"/>
          <w:kern w:val="0"/>
          <w:sz w:val="32"/>
          <w:szCs w:val="32"/>
          <w:lang w:val="en-US" w:eastAsia="zh-CN" w:bidi="ar"/>
        </w:rPr>
        <w:t>为有效解决知识产权纠纷调解协议的效力确认问题，提升当事人纠纷化解效率，省知识产权局将探索知识产权司法确认、仲裁确认、公证确认三大机制，推动构建知识产权纠纷多元化解格局，探索知识产权纠纷调解效力确认江苏模式：一是依托江苏省知识产权纠纷人民调解委员会，完善人民调解流程，优化人民调解技巧，推进人民调解协议的司法确认，实现调解协议的可强制执行性，确保纠纷调解及时、高效。二是依托江苏（南京）知识产权仲裁调解中心，建立调解与仲裁相衔接的工作机制，做好知识产权纠纷调解协议的仲裁确认，方便当事人申请强制执行，提供便捷、保密的纠纷解决渠道。三是协调南京公证处，实现知识产权纠纷调解全程公证记录，做好知识产权纠纷调解协议的公证确认，确保调解协议可强制执行。项目期内，开展</w:t>
      </w:r>
      <w:r>
        <w:rPr>
          <w:rFonts w:hint="default" w:ascii="Times New Roman" w:hAnsi="Times New Roman" w:eastAsia="仿宋_GB2312" w:cs="Times New Roman"/>
          <w:kern w:val="0"/>
          <w:sz w:val="32"/>
          <w:szCs w:val="32"/>
          <w:lang w:val="en-US" w:eastAsia="zh-CN" w:bidi="ar"/>
        </w:rPr>
        <w:t>1-2</w:t>
      </w:r>
      <w:r>
        <w:rPr>
          <w:rFonts w:hint="eastAsia" w:ascii="仿宋_GB2312" w:hAnsi="Times New Roman" w:eastAsia="仿宋_GB2312" w:cs="仿宋_GB2312"/>
          <w:kern w:val="0"/>
          <w:sz w:val="32"/>
          <w:szCs w:val="32"/>
          <w:lang w:val="en-US" w:eastAsia="zh-CN" w:bidi="ar"/>
        </w:rPr>
        <w:t>次知识产权纠纷调解员培训，调解知识产权纠纷</w:t>
      </w:r>
      <w:r>
        <w:rPr>
          <w:rFonts w:hint="default" w:ascii="Times New Roman" w:hAnsi="Times New Roman" w:eastAsia="仿宋_GB2312" w:cs="Times New Roman"/>
          <w:kern w:val="0"/>
          <w:sz w:val="32"/>
          <w:szCs w:val="32"/>
          <w:lang w:val="en-US" w:eastAsia="zh-CN" w:bidi="ar"/>
        </w:rPr>
        <w:t>200</w:t>
      </w:r>
      <w:r>
        <w:rPr>
          <w:rFonts w:hint="eastAsia" w:ascii="仿宋_GB2312" w:hAnsi="Times New Roman" w:eastAsia="仿宋_GB2312" w:cs="仿宋_GB2312"/>
          <w:kern w:val="0"/>
          <w:sz w:val="32"/>
          <w:szCs w:val="32"/>
          <w:lang w:val="en-US" w:eastAsia="zh-CN" w:bidi="ar"/>
        </w:rPr>
        <w:t>件，通过战略合作协议等方式，畅通并完善</w:t>
      </w:r>
      <w:r>
        <w:rPr>
          <w:rFonts w:hint="default" w:ascii="Times New Roman" w:hAnsi="Times New Roman" w:eastAsia="仿宋_GB2312" w:cs="Times New Roman"/>
          <w:kern w:val="0"/>
          <w:sz w:val="32"/>
          <w:szCs w:val="32"/>
          <w:lang w:val="en-US" w:eastAsia="zh-CN" w:bidi="ar"/>
        </w:rPr>
        <w:t>3</w:t>
      </w:r>
      <w:r>
        <w:rPr>
          <w:rFonts w:hint="eastAsia" w:ascii="仿宋_GB2312" w:hAnsi="Times New Roman" w:eastAsia="仿宋_GB2312" w:cs="仿宋_GB2312"/>
          <w:kern w:val="0"/>
          <w:sz w:val="32"/>
          <w:szCs w:val="32"/>
          <w:lang w:val="en-US" w:eastAsia="zh-CN" w:bidi="ar"/>
        </w:rPr>
        <w:t>个知识产权纠纷调解效力确认的渠道。</w:t>
      </w:r>
      <w:r>
        <w:rPr>
          <w:rFonts w:hint="eastAsia" w:ascii="仿宋_GB2312" w:hAnsi="Calibri" w:eastAsia="仿宋_GB2312" w:cs="仿宋_GB2312"/>
          <w:b/>
          <w:bCs/>
          <w:kern w:val="2"/>
          <w:sz w:val="32"/>
          <w:szCs w:val="32"/>
          <w:lang w:val="en-US" w:eastAsia="zh-CN" w:bidi="ar"/>
        </w:rPr>
        <w:t>（责任单位：省知识产权局）</w:t>
      </w:r>
    </w:p>
    <w:p>
      <w:pPr>
        <w:keepNext w:val="0"/>
        <w:keepLines w:val="0"/>
        <w:widowControl w:val="0"/>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十四、打造交通运输行业公职律师线上法律服务咨询台。</w:t>
      </w:r>
      <w:r>
        <w:rPr>
          <w:rFonts w:hint="eastAsia" w:ascii="仿宋_GB2312" w:hAnsi="Times New Roman" w:eastAsia="仿宋_GB2312" w:cs="仿宋_GB2312"/>
          <w:kern w:val="0"/>
          <w:sz w:val="32"/>
          <w:szCs w:val="32"/>
          <w:lang w:val="en-US" w:eastAsia="zh-CN" w:bidi="ar"/>
        </w:rPr>
        <w:t>省交通运输厅组织在交通运输部门网站建设交通运输行业线上法律咨询台，主要依托全省交通运输系统</w:t>
      </w:r>
      <w:r>
        <w:rPr>
          <w:rFonts w:hint="default" w:ascii="Times New Roman" w:hAnsi="Times New Roman" w:eastAsia="仿宋_GB2312" w:cs="Times New Roman"/>
          <w:kern w:val="0"/>
          <w:sz w:val="32"/>
          <w:szCs w:val="32"/>
          <w:lang w:val="en-US" w:eastAsia="zh-CN" w:bidi="ar"/>
        </w:rPr>
        <w:t>200</w:t>
      </w:r>
      <w:r>
        <w:rPr>
          <w:rFonts w:hint="eastAsia" w:ascii="仿宋_GB2312" w:hAnsi="Times New Roman" w:eastAsia="仿宋_GB2312" w:cs="仿宋_GB2312"/>
          <w:kern w:val="0"/>
          <w:sz w:val="32"/>
          <w:szCs w:val="32"/>
          <w:lang w:val="en-US" w:eastAsia="zh-CN" w:bidi="ar"/>
        </w:rPr>
        <w:t>名公职律师提供在线法律咨询服务。总体目标为与已建成的线下法律服务站联动服务，打造覆盖线上、线下的交通运输行业法律服务网，实现行业法律服务的标准化、便捷化、协同化，为人民群众提供优质高效的行业法律服务。总体架构为</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一张网络，两级平台</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由一张网络覆盖全行业，由省、市两级平台组成，平台之间通过数据共享交换系统实现联通。主要功能和实施效果为：为社会公众提供优质高效的法律咨询服务，定期采集、更新群众关心的热点法律知识问答与典型案例以供查阅；通过对咨询问题的分析归纳，对交通运输部门行业法规制度和行业政策文件的制修订提供参考意见，对优化交通运输制度建设、工作机制、工作程序等提出参考建议。</w:t>
      </w:r>
      <w:r>
        <w:rPr>
          <w:rFonts w:hint="eastAsia" w:ascii="仿宋_GB2312" w:hAnsi="Calibri" w:eastAsia="仿宋_GB2312" w:cs="仿宋_GB2312"/>
          <w:b/>
          <w:bCs/>
          <w:kern w:val="2"/>
          <w:sz w:val="32"/>
          <w:szCs w:val="32"/>
          <w:lang w:val="en-US" w:eastAsia="zh-CN" w:bidi="ar"/>
        </w:rPr>
        <w:t>（责任单位：省交通运输厅）</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黑体" w:hAnsi="宋体" w:eastAsia="黑体" w:cs="黑体"/>
          <w:kern w:val="2"/>
          <w:sz w:val="32"/>
          <w:szCs w:val="32"/>
          <w:lang w:val="en-US" w:eastAsia="zh-CN" w:bidi="ar"/>
        </w:rPr>
        <w:t>十五、清理规范特种设备检验检测收费政策。</w:t>
      </w:r>
      <w:r>
        <w:rPr>
          <w:rFonts w:hint="eastAsia" w:ascii="仿宋_GB2312" w:hAnsi="Times New Roman" w:eastAsia="仿宋_GB2312" w:cs="仿宋_GB2312"/>
          <w:kern w:val="0"/>
          <w:sz w:val="32"/>
          <w:szCs w:val="32"/>
          <w:lang w:val="en-US" w:eastAsia="zh-CN" w:bidi="ar"/>
        </w:rPr>
        <w:t>实现特种设备检验检测关乎人民生命财产安全，是提升本职安全水平的重要内容。依据《安全生产法》《特种设备安全法》《特种设备安全监察条例》等法律法规规定，国家对特种设备实行强制性检验检测。国家市场监管总局依法制定《特种设备目录》，特种设备包括锅炉、压力容器、压力管道、压力管道元件、电梯、起重机械、客运索道、大型游乐设施、场（厂）内机动车辆、安全附件</w:t>
      </w:r>
      <w:r>
        <w:rPr>
          <w:rFonts w:hint="default" w:ascii="Times New Roman" w:hAnsi="Times New Roman" w:eastAsia="仿宋_GB2312" w:cs="Times New Roman"/>
          <w:kern w:val="0"/>
          <w:sz w:val="32"/>
          <w:szCs w:val="32"/>
          <w:lang w:val="en-US" w:eastAsia="zh-CN" w:bidi="ar"/>
        </w:rPr>
        <w:t>10</w:t>
      </w:r>
      <w:r>
        <w:rPr>
          <w:rFonts w:hint="eastAsia" w:ascii="仿宋_GB2312" w:hAnsi="Times New Roman" w:eastAsia="仿宋_GB2312" w:cs="仿宋_GB2312"/>
          <w:kern w:val="0"/>
          <w:sz w:val="32"/>
          <w:szCs w:val="32"/>
          <w:lang w:val="en-US" w:eastAsia="zh-CN" w:bidi="ar"/>
        </w:rPr>
        <w:t>类。检验检测内容主要包括特种设备监督检验、定期检验、型式试验、设计文件鉴定，由经国家市场监管总局核准的检验检测机构负责检验检测，并按规定收取费用。江苏省特种设备安全监督检验研究院及其下设</w:t>
      </w:r>
      <w:r>
        <w:rPr>
          <w:rFonts w:hint="default" w:ascii="Times New Roman" w:hAnsi="Times New Roman" w:eastAsia="仿宋_GB2312" w:cs="Times New Roman"/>
          <w:kern w:val="0"/>
          <w:sz w:val="32"/>
          <w:szCs w:val="32"/>
          <w:lang w:val="en-US" w:eastAsia="zh-CN" w:bidi="ar"/>
        </w:rPr>
        <w:t>20</w:t>
      </w:r>
      <w:r>
        <w:rPr>
          <w:rFonts w:hint="eastAsia" w:ascii="仿宋_GB2312" w:hAnsi="Times New Roman" w:eastAsia="仿宋_GB2312" w:cs="仿宋_GB2312"/>
          <w:kern w:val="0"/>
          <w:sz w:val="32"/>
          <w:szCs w:val="32"/>
          <w:lang w:val="en-US" w:eastAsia="zh-CN" w:bidi="ar"/>
        </w:rPr>
        <w:t>个分院和南京市特种设备安全监督检验研究院、南京市锅炉压力容器安全监督检验研究院，为我省市场监管部门下属事业单位性质的特种设备检验检测机构，承担大部分省内特种设备检验检测工作。</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仿宋_GB2312" w:hAnsi="Times New Roman" w:eastAsia="仿宋_GB2312" w:cs="仿宋_GB2312"/>
          <w:kern w:val="0"/>
          <w:sz w:val="32"/>
          <w:szCs w:val="32"/>
          <w:lang w:val="en-US" w:eastAsia="zh-CN" w:bidi="ar"/>
        </w:rPr>
        <w:t>我省现特种设备检验检测收费项目共</w:t>
      </w:r>
      <w:r>
        <w:rPr>
          <w:rFonts w:hint="default" w:ascii="Times New Roman" w:hAnsi="Times New Roman" w:eastAsia="仿宋_GB2312" w:cs="Times New Roman"/>
          <w:kern w:val="0"/>
          <w:sz w:val="32"/>
          <w:szCs w:val="32"/>
          <w:lang w:val="en-US" w:eastAsia="zh-CN" w:bidi="ar"/>
        </w:rPr>
        <w:t>11</w:t>
      </w:r>
      <w:r>
        <w:rPr>
          <w:rFonts w:hint="eastAsia" w:ascii="仿宋_GB2312" w:hAnsi="Times New Roman" w:eastAsia="仿宋_GB2312" w:cs="仿宋_GB2312"/>
          <w:kern w:val="0"/>
          <w:sz w:val="32"/>
          <w:szCs w:val="32"/>
          <w:lang w:val="en-US" w:eastAsia="zh-CN" w:bidi="ar"/>
        </w:rPr>
        <w:t>项，均为行政事业性收费项目，除客运索道定期检验收费标准由国家发展改革委会同财政部制定（调整）外，其他</w:t>
      </w:r>
      <w:r>
        <w:rPr>
          <w:rFonts w:hint="default" w:ascii="Times New Roman" w:hAnsi="Times New Roman" w:eastAsia="仿宋_GB2312" w:cs="Times New Roman"/>
          <w:kern w:val="0"/>
          <w:sz w:val="32"/>
          <w:szCs w:val="32"/>
          <w:lang w:val="en-US" w:eastAsia="zh-CN" w:bidi="ar"/>
        </w:rPr>
        <w:t>10</w:t>
      </w:r>
      <w:r>
        <w:rPr>
          <w:rFonts w:hint="eastAsia" w:ascii="仿宋_GB2312" w:hAnsi="Times New Roman" w:eastAsia="仿宋_GB2312" w:cs="仿宋_GB2312"/>
          <w:kern w:val="0"/>
          <w:sz w:val="32"/>
          <w:szCs w:val="32"/>
          <w:lang w:val="en-US" w:eastAsia="zh-CN" w:bidi="ar"/>
        </w:rPr>
        <w:t>个项目收费标准由省发展改革委会同省级财政厅制定（调整）。</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仿宋_GB2312" w:hAnsi="Times New Roman" w:eastAsia="仿宋_GB2312" w:cs="仿宋_GB2312"/>
          <w:kern w:val="0"/>
          <w:sz w:val="32"/>
          <w:szCs w:val="32"/>
          <w:lang w:val="en-US" w:eastAsia="zh-CN" w:bidi="ar"/>
        </w:rPr>
        <w:t>为保障特种设备检验检测工作顺利开展，切实减轻企业负担，助力优化营商环境，对不同时期制定的</w:t>
      </w:r>
      <w:r>
        <w:rPr>
          <w:rFonts w:hint="default" w:ascii="Times New Roman" w:hAnsi="Times New Roman" w:eastAsia="仿宋_GB2312" w:cs="Times New Roman"/>
          <w:kern w:val="0"/>
          <w:sz w:val="32"/>
          <w:szCs w:val="32"/>
          <w:lang w:val="en-US" w:eastAsia="zh-CN" w:bidi="ar"/>
        </w:rPr>
        <w:t>9</w:t>
      </w:r>
      <w:r>
        <w:rPr>
          <w:rFonts w:hint="eastAsia" w:ascii="仿宋_GB2312" w:hAnsi="Times New Roman" w:eastAsia="仿宋_GB2312" w:cs="仿宋_GB2312"/>
          <w:kern w:val="0"/>
          <w:sz w:val="32"/>
          <w:szCs w:val="32"/>
          <w:lang w:val="en-US" w:eastAsia="zh-CN" w:bidi="ar"/>
        </w:rPr>
        <w:t>类特种设备</w:t>
      </w:r>
      <w:r>
        <w:rPr>
          <w:rFonts w:hint="default" w:ascii="Times New Roman" w:hAnsi="Times New Roman" w:eastAsia="仿宋_GB2312" w:cs="Times New Roman"/>
          <w:kern w:val="0"/>
          <w:sz w:val="32"/>
          <w:szCs w:val="32"/>
          <w:lang w:val="en-US" w:eastAsia="zh-CN" w:bidi="ar"/>
        </w:rPr>
        <w:t>10</w:t>
      </w:r>
      <w:r>
        <w:rPr>
          <w:rFonts w:hint="eastAsia" w:ascii="仿宋_GB2312" w:hAnsi="Times New Roman" w:eastAsia="仿宋_GB2312" w:cs="仿宋_GB2312"/>
          <w:kern w:val="0"/>
          <w:sz w:val="32"/>
          <w:szCs w:val="32"/>
          <w:lang w:val="en-US" w:eastAsia="zh-CN" w:bidi="ar"/>
        </w:rPr>
        <w:t>个项目检验检测收费政策的</w:t>
      </w:r>
      <w:r>
        <w:rPr>
          <w:rFonts w:hint="default" w:ascii="Times New Roman" w:hAnsi="Times New Roman" w:eastAsia="仿宋_GB2312" w:cs="Times New Roman"/>
          <w:kern w:val="0"/>
          <w:sz w:val="32"/>
          <w:szCs w:val="32"/>
          <w:lang w:val="en-US" w:eastAsia="zh-CN" w:bidi="ar"/>
        </w:rPr>
        <w:t>8</w:t>
      </w:r>
      <w:r>
        <w:rPr>
          <w:rFonts w:hint="eastAsia" w:ascii="仿宋_GB2312" w:hAnsi="Times New Roman" w:eastAsia="仿宋_GB2312" w:cs="仿宋_GB2312"/>
          <w:kern w:val="0"/>
          <w:sz w:val="32"/>
          <w:szCs w:val="32"/>
          <w:lang w:val="en-US" w:eastAsia="zh-CN" w:bidi="ar"/>
        </w:rPr>
        <w:t>件文件进行全面清理，删除失效文件内容，统一规范收费项目，整合成为</w:t>
      </w:r>
      <w:r>
        <w:rPr>
          <w:rFonts w:hint="default" w:ascii="Times New Roman" w:hAnsi="Times New Roman" w:eastAsia="仿宋_GB2312" w:cs="Times New Roman"/>
          <w:kern w:val="0"/>
          <w:sz w:val="32"/>
          <w:szCs w:val="32"/>
          <w:lang w:val="en-US" w:eastAsia="zh-CN" w:bidi="ar"/>
        </w:rPr>
        <w:t>1</w:t>
      </w:r>
      <w:r>
        <w:rPr>
          <w:rFonts w:hint="eastAsia" w:ascii="仿宋_GB2312" w:hAnsi="Times New Roman" w:eastAsia="仿宋_GB2312" w:cs="仿宋_GB2312"/>
          <w:kern w:val="0"/>
          <w:sz w:val="32"/>
          <w:szCs w:val="32"/>
          <w:lang w:val="en-US" w:eastAsia="zh-CN" w:bidi="ar"/>
        </w:rPr>
        <w:t>件综合性文件，便于检验检测机构执行，利于送检单位明明白白缴费，有助于实现社会监督。</w:t>
      </w:r>
      <w:r>
        <w:rPr>
          <w:rFonts w:hint="eastAsia" w:ascii="仿宋_GB2312" w:hAnsi="Calibri" w:eastAsia="仿宋_GB2312" w:cs="仿宋_GB2312"/>
          <w:b/>
          <w:bCs/>
          <w:kern w:val="2"/>
          <w:sz w:val="32"/>
          <w:szCs w:val="32"/>
          <w:lang w:val="en-US" w:eastAsia="zh-CN" w:bidi="ar"/>
        </w:rPr>
        <w:t>（责任单位：省发展改革委）</w:t>
      </w:r>
    </w:p>
    <w:p>
      <w:pPr>
        <w:keepNext w:val="0"/>
        <w:keepLines w:val="0"/>
        <w:pageBreakBefore w:val="0"/>
        <w:widowControl w:val="0"/>
        <w:suppressLineNumbers w:val="0"/>
        <w:kinsoku/>
        <w:wordWrap/>
        <w:overflowPunct/>
        <w:topLinePunct w:val="0"/>
        <w:bidi w:val="0"/>
        <w:adjustRightInd/>
        <w:snapToGrid/>
        <w:spacing w:before="0" w:beforeAutospacing="0" w:afterAutospacing="0" w:line="580" w:lineRule="exact"/>
        <w:ind w:left="0" w:right="0" w:firstLine="640" w:firstLineChars="200"/>
        <w:jc w:val="both"/>
        <w:textAlignment w:val="auto"/>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十六、修订《江苏省青少年（幼儿）体育类校外培训机构管理办法》。</w:t>
      </w:r>
      <w:r>
        <w:rPr>
          <w:rFonts w:hint="eastAsia" w:ascii="仿宋_GB2312" w:hAnsi="Times New Roman" w:eastAsia="仿宋_GB2312" w:cs="仿宋_GB2312"/>
          <w:kern w:val="0"/>
          <w:sz w:val="32"/>
          <w:szCs w:val="32"/>
          <w:lang w:val="en-US" w:eastAsia="zh-CN" w:bidi="ar"/>
        </w:rPr>
        <w:t>为推动</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双减</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政策落实，进一步加强义务教育阶段和高中阶段体育类校外培训机构的监管，省体育局拟对《江苏省青少年（幼儿）体育类校外培训机构管理办法》进行修订。此次修订主要是进一步明确体育类校外培训机构的准入条件，强化预收费资金监管，更好地保障青少年学生的合法权益。</w:t>
      </w:r>
      <w:r>
        <w:rPr>
          <w:rFonts w:hint="eastAsia" w:ascii="仿宋_GB2312" w:hAnsi="Calibri" w:eastAsia="仿宋_GB2312" w:cs="仿宋_GB2312"/>
          <w:b/>
          <w:bCs/>
          <w:kern w:val="2"/>
          <w:sz w:val="32"/>
          <w:szCs w:val="32"/>
          <w:lang w:val="en-US" w:eastAsia="zh-CN" w:bidi="ar"/>
        </w:rPr>
        <w:t>（责任单位：省体育局）</w:t>
      </w:r>
    </w:p>
    <w:p>
      <w:pPr>
        <w:pStyle w:val="6"/>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580" w:lineRule="exact"/>
        <w:ind w:left="0" w:right="0" w:firstLine="640" w:firstLineChars="200"/>
        <w:jc w:val="both"/>
        <w:textAlignment w:val="auto"/>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十七、政府采购文件公平竞争审查。</w:t>
      </w:r>
      <w:r>
        <w:rPr>
          <w:rFonts w:hint="eastAsia" w:ascii="仿宋_GB2312" w:hAnsi="Times New Roman" w:eastAsia="仿宋_GB2312" w:cs="仿宋_GB2312"/>
          <w:kern w:val="0"/>
          <w:sz w:val="32"/>
          <w:szCs w:val="32"/>
          <w:lang w:val="en-US" w:eastAsia="zh-CN" w:bidi="ar"/>
        </w:rPr>
        <w:t>严格落实《政府采购法》等相关法律法规要求，聚焦优化政府采购领域营商环境，依托“苏采云”政府采购交易系统和省公平竞争审查平台，运用人工智能和大数据，建立采购文件公平竞争审查事前预防、事中纠正、事后督查的“全链条”监管机制，形成公平竞争审查工作闭环，进一步压实采购人公平竞争审查的主体责任，从源头杜绝限制竞争行为，全面清除隐性壁垒和歧视措施，保障市场主体公平竞争权利，让各类经营主体在政府采购活动中感受到公平正义。</w:t>
      </w:r>
      <w:r>
        <w:rPr>
          <w:rFonts w:hint="eastAsia" w:ascii="仿宋_GB2312" w:hAnsi="Calibri" w:eastAsia="仿宋_GB2312" w:cs="仿宋_GB2312"/>
          <w:b/>
          <w:bCs/>
          <w:kern w:val="2"/>
          <w:sz w:val="32"/>
          <w:szCs w:val="32"/>
          <w:lang w:val="en-US" w:eastAsia="zh-CN" w:bidi="ar"/>
        </w:rPr>
        <w:t>（责任单位：省财政厅）</w:t>
      </w:r>
    </w:p>
    <w:p>
      <w:pPr>
        <w:keepNext w:val="0"/>
        <w:keepLines w:val="0"/>
        <w:widowControl/>
        <w:suppressLineNumbers w:val="0"/>
        <w:spacing w:before="0" w:beforeAutospacing="0" w:after="0" w:afterAutospacing="0" w:line="580" w:lineRule="exact"/>
        <w:ind w:left="0" w:right="0" w:firstLine="640" w:firstLineChars="200"/>
        <w:jc w:val="both"/>
        <w:rPr>
          <w:rFonts w:hint="eastAsia" w:ascii="仿宋_GB2312" w:hAnsi="Calibri" w:eastAsia="仿宋_GB2312" w:cs="仿宋_GB2312"/>
          <w:b/>
          <w:bCs/>
          <w:kern w:val="2"/>
          <w:sz w:val="32"/>
          <w:szCs w:val="32"/>
        </w:rPr>
      </w:pPr>
      <w:r>
        <w:rPr>
          <w:rFonts w:hint="eastAsia" w:ascii="黑体" w:hAnsi="宋体" w:eastAsia="黑体" w:cs="黑体"/>
          <w:kern w:val="2"/>
          <w:sz w:val="32"/>
          <w:szCs w:val="32"/>
          <w:lang w:val="en-US" w:eastAsia="zh-CN" w:bidi="ar"/>
        </w:rPr>
        <w:t>十八、贸促商法服务伴企行。</w:t>
      </w:r>
      <w:r>
        <w:rPr>
          <w:rFonts w:hint="eastAsia" w:ascii="仿宋_GB2312" w:hAnsi="Times New Roman" w:eastAsia="仿宋_GB2312" w:cs="仿宋_GB2312"/>
          <w:kern w:val="0"/>
          <w:sz w:val="32"/>
          <w:szCs w:val="32"/>
          <w:lang w:val="en-US" w:eastAsia="zh-CN" w:bidi="ar"/>
        </w:rPr>
        <w:t>从事前的风险预警、国际经贸规则宣讲，到事中的商事认证、合规管理，到事后的商事争议解决、敦促履约，为企业提供全链条、一站式涉外商事法律服务。</w:t>
      </w:r>
      <w:r>
        <w:rPr>
          <w:rFonts w:hint="eastAsia" w:ascii="仿宋_GB2312" w:hAnsi="Calibri" w:eastAsia="仿宋_GB2312" w:cs="仿宋_GB2312"/>
          <w:b/>
          <w:bCs/>
          <w:kern w:val="2"/>
          <w:sz w:val="32"/>
          <w:szCs w:val="32"/>
          <w:lang w:val="en-US" w:eastAsia="zh-CN" w:bidi="ar"/>
        </w:rPr>
        <w:t>（责任单位：省贸促会）</w:t>
      </w:r>
    </w:p>
    <w:p>
      <w:pPr>
        <w:pStyle w:val="6"/>
        <w:keepNext w:val="0"/>
        <w:keepLines w:val="0"/>
        <w:widowControl/>
        <w:suppressLineNumbers w:val="0"/>
        <w:shd w:val="clear" w:fill="FFFFFF"/>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shd w:val="clear" w:fill="FFFFFF"/>
        </w:rPr>
      </w:pPr>
      <w:r>
        <w:rPr>
          <w:rFonts w:hint="eastAsia" w:ascii="黑体" w:hAnsi="宋体" w:eastAsia="黑体" w:cs="黑体"/>
          <w:kern w:val="2"/>
          <w:sz w:val="32"/>
          <w:szCs w:val="32"/>
          <w:shd w:val="clear" w:fill="FFFFFF"/>
          <w:lang w:val="en-US" w:eastAsia="zh-CN" w:bidi="ar"/>
        </w:rPr>
        <w:t>十九、强化基层村（社区）法治建设。</w:t>
      </w:r>
      <w:r>
        <w:rPr>
          <w:rFonts w:hint="eastAsia" w:ascii="仿宋_GB2312" w:hAnsi="Times New Roman" w:eastAsia="仿宋_GB2312" w:cs="仿宋_GB2312"/>
          <w:kern w:val="0"/>
          <w:sz w:val="32"/>
          <w:szCs w:val="32"/>
          <w:shd w:val="clear" w:fill="FFFFFF"/>
          <w:lang w:val="en-US" w:eastAsia="zh-CN" w:bidi="ar"/>
        </w:rPr>
        <w:t>盘活用好“法律明白人”“农村学法用法示范户”等法治力量，抓好“</w:t>
      </w:r>
      <w:r>
        <w:rPr>
          <w:rFonts w:hint="default" w:ascii="Times New Roman" w:hAnsi="Times New Roman" w:eastAsia="仿宋_GB2312" w:cs="Times New Roman"/>
          <w:kern w:val="0"/>
          <w:sz w:val="32"/>
          <w:szCs w:val="32"/>
          <w:shd w:val="clear" w:fill="FFFFFF"/>
          <w:lang w:val="en-US" w:eastAsia="zh-CN" w:bidi="ar"/>
        </w:rPr>
        <w:t>1</w:t>
      </w:r>
      <w:r>
        <w:rPr>
          <w:rFonts w:hint="eastAsia" w:ascii="仿宋_GB2312" w:hAnsi="Times New Roman" w:eastAsia="仿宋_GB2312" w:cs="仿宋_GB2312"/>
          <w:kern w:val="0"/>
          <w:sz w:val="32"/>
          <w:szCs w:val="32"/>
          <w:shd w:val="clear" w:fill="FFFFFF"/>
          <w:lang w:val="en-US" w:eastAsia="zh-CN" w:bidi="ar"/>
        </w:rPr>
        <w:t>名村（居）法律顾问</w:t>
      </w:r>
      <w:r>
        <w:rPr>
          <w:rFonts w:hint="default" w:ascii="Times New Roman" w:hAnsi="Times New Roman" w:eastAsia="仿宋_GB2312" w:cs="Times New Roman"/>
          <w:kern w:val="0"/>
          <w:sz w:val="32"/>
          <w:szCs w:val="32"/>
          <w:shd w:val="clear" w:fill="FFFFFF"/>
          <w:lang w:val="en-US" w:eastAsia="zh-CN" w:bidi="ar"/>
        </w:rPr>
        <w:t>+N</w:t>
      </w:r>
      <w:r>
        <w:rPr>
          <w:rFonts w:hint="eastAsia" w:ascii="仿宋_GB2312" w:hAnsi="Times New Roman" w:eastAsia="仿宋_GB2312" w:cs="仿宋_GB2312"/>
          <w:kern w:val="0"/>
          <w:sz w:val="32"/>
          <w:szCs w:val="32"/>
          <w:shd w:val="clear" w:fill="FFFFFF"/>
          <w:lang w:val="en-US" w:eastAsia="zh-CN" w:bidi="ar"/>
        </w:rPr>
        <w:t>名法律明白人”行动落实落地，协同推动村（社区）解决法治建设中存在的具体问题。积极发挥政法干警法治实践经验丰富的优势，配合省委政法委派驻政法干警帮助村（社区）提升基层社会治理能力和水平。</w:t>
      </w:r>
    </w:p>
    <w:p>
      <w:pPr>
        <w:pStyle w:val="6"/>
        <w:keepNext w:val="0"/>
        <w:keepLines w:val="0"/>
        <w:widowControl/>
        <w:suppressLineNumbers w:val="0"/>
        <w:shd w:val="clear" w:fill="FFFFFF"/>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shd w:val="clear" w:fill="FFFFFF"/>
        </w:rPr>
      </w:pPr>
      <w:r>
        <w:rPr>
          <w:rFonts w:hint="eastAsia" w:ascii="仿宋_GB2312" w:hAnsi="Times New Roman" w:eastAsia="仿宋_GB2312" w:cs="仿宋_GB2312"/>
          <w:kern w:val="0"/>
          <w:sz w:val="32"/>
          <w:szCs w:val="32"/>
          <w:shd w:val="clear" w:fill="FFFFFF"/>
          <w:lang w:val="en-US" w:eastAsia="zh-CN" w:bidi="ar"/>
        </w:rPr>
        <w:t>编印政法干警工作清单，指导政法干警有针对性地补齐村（社区）法治建设短板。</w:t>
      </w:r>
    </w:p>
    <w:p>
      <w:pPr>
        <w:pStyle w:val="6"/>
        <w:keepNext w:val="0"/>
        <w:keepLines w:val="0"/>
        <w:widowControl/>
        <w:suppressLineNumbers w:val="0"/>
        <w:shd w:val="clear" w:fill="FFFFFF"/>
        <w:spacing w:before="0" w:beforeAutospacing="0" w:after="0" w:afterAutospacing="0" w:line="580" w:lineRule="exact"/>
        <w:ind w:left="0" w:right="0" w:firstLine="640" w:firstLineChars="200"/>
        <w:jc w:val="both"/>
        <w:rPr>
          <w:rFonts w:hint="eastAsia" w:ascii="仿宋_GB2312" w:hAnsi="Calibri" w:eastAsia="仿宋_GB2312" w:cs="仿宋_GB2312"/>
          <w:color w:val="000000"/>
          <w:kern w:val="0"/>
          <w:sz w:val="32"/>
          <w:szCs w:val="32"/>
          <w:shd w:val="clear" w:fill="FFFFFF"/>
        </w:rPr>
      </w:pPr>
      <w:r>
        <w:rPr>
          <w:rFonts w:hint="eastAsia" w:ascii="仿宋_GB2312" w:hAnsi="Times New Roman" w:eastAsia="仿宋_GB2312" w:cs="仿宋_GB2312"/>
          <w:kern w:val="0"/>
          <w:sz w:val="32"/>
          <w:szCs w:val="32"/>
          <w:shd w:val="clear" w:fill="FFFFFF"/>
          <w:lang w:val="en-US" w:eastAsia="zh-CN" w:bidi="ar"/>
        </w:rPr>
        <w:t>组织基层法律服务工作者为万家小微企业和个体工商户提供“法治体检”服务。指导各地组建“法治体检”专项服务团，深入小微企业和个体工商户开展法律风险排查、评估，提出法律意见建议，帮助化解涉企矛盾纠纷，促进小微企业和个体工商户依法有序发展。</w:t>
      </w:r>
      <w:r>
        <w:rPr>
          <w:rFonts w:hint="eastAsia" w:ascii="仿宋_GB2312" w:hAnsi="Calibri" w:eastAsia="仿宋_GB2312" w:cs="仿宋_GB2312"/>
          <w:b/>
          <w:bCs/>
          <w:kern w:val="0"/>
          <w:sz w:val="32"/>
          <w:szCs w:val="32"/>
          <w:shd w:val="clear" w:fill="FFFFFF"/>
          <w:lang w:val="en-US" w:eastAsia="zh-CN" w:bidi="ar"/>
        </w:rPr>
        <w:t>（责任单位：省司法厅）</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黑体" w:hAnsi="宋体" w:eastAsia="黑体" w:cs="黑体"/>
          <w:kern w:val="2"/>
          <w:sz w:val="32"/>
          <w:szCs w:val="32"/>
          <w:lang w:val="en-US" w:eastAsia="zh-CN" w:bidi="ar"/>
        </w:rPr>
        <w:t>二十、船员纠纷化解全流程“绿色通道”。</w:t>
      </w:r>
      <w:r>
        <w:rPr>
          <w:rFonts w:hint="eastAsia" w:ascii="仿宋_GB2312" w:hAnsi="Times New Roman" w:eastAsia="仿宋_GB2312" w:cs="仿宋_GB2312"/>
          <w:kern w:val="0"/>
          <w:sz w:val="32"/>
          <w:szCs w:val="32"/>
          <w:lang w:val="en-US" w:eastAsia="zh-CN" w:bidi="ar"/>
        </w:rPr>
        <w:t>江苏是船员大省，拥有</w:t>
      </w:r>
      <w:r>
        <w:rPr>
          <w:rFonts w:hint="default" w:ascii="Times New Roman" w:hAnsi="Times New Roman" w:eastAsia="仿宋_GB2312" w:cs="Times New Roman"/>
          <w:kern w:val="0"/>
          <w:sz w:val="32"/>
          <w:szCs w:val="32"/>
          <w:lang w:val="en-US" w:eastAsia="zh-CN" w:bidi="ar"/>
        </w:rPr>
        <w:t>24</w:t>
      </w:r>
      <w:r>
        <w:rPr>
          <w:rFonts w:hint="eastAsia" w:ascii="仿宋_GB2312" w:hAnsi="Times New Roman" w:eastAsia="仿宋_GB2312" w:cs="仿宋_GB2312"/>
          <w:kern w:val="0"/>
          <w:sz w:val="32"/>
          <w:szCs w:val="32"/>
          <w:lang w:val="en-US" w:eastAsia="zh-CN" w:bidi="ar"/>
        </w:rPr>
        <w:t>万余船员，约占全国</w:t>
      </w:r>
      <w:r>
        <w:rPr>
          <w:rFonts w:hint="default" w:ascii="Times New Roman" w:hAnsi="Times New Roman" w:eastAsia="仿宋_GB2312" w:cs="Times New Roman"/>
          <w:kern w:val="0"/>
          <w:sz w:val="32"/>
          <w:szCs w:val="32"/>
          <w:lang w:val="en-US" w:eastAsia="zh-CN" w:bidi="ar"/>
        </w:rPr>
        <w:t>1/7</w:t>
      </w:r>
      <w:r>
        <w:rPr>
          <w:rFonts w:hint="eastAsia" w:ascii="仿宋_GB2312" w:hAnsi="Times New Roman" w:eastAsia="仿宋_GB2312" w:cs="仿宋_GB2312"/>
          <w:kern w:val="0"/>
          <w:sz w:val="32"/>
          <w:szCs w:val="32"/>
          <w:lang w:val="en-US" w:eastAsia="zh-CN" w:bidi="ar"/>
        </w:rPr>
        <w:t>，但在实践中，受限于教育背景、常年跑船等因素，船员维权、诉讼能力普遍较弱，对权益保障途径、流程、方式等均不熟悉。南京海事法院作为审理江苏省海事海商纠纷的专门法院，将着力从</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诉前、立案、诉中、诉后</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四大环节，做优船员纠纷化解全流程</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，为船员提供优质海事司法服务，依法维护船员合法权益，促进航运业健康稳定发展。</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仿宋_GB2312" w:hAnsi="Times New Roman" w:eastAsia="仿宋_GB2312" w:cs="仿宋_GB2312"/>
          <w:kern w:val="0"/>
          <w:sz w:val="32"/>
          <w:szCs w:val="32"/>
          <w:lang w:val="en-US" w:eastAsia="zh-CN" w:bidi="ar"/>
        </w:rPr>
        <w:t>做优诉前</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，多维关照船员需求。依托</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江苏船员权益保护中心</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连云港船员权益保护中心</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及下设工作站，优化船员各类诉求的协调处理流程，</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一站解决</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船员工作生活、伤病救治、安全防护、权益保护等方面问题；加大与海事、交通部门、人社部门、船员协会等单位的沟通协作，推出船员上船格式合同、船员权益风险提示手册等，广泛开展普法宣传，推动船员纠纷的妥善化解。</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仿宋_GB2312" w:hAnsi="Times New Roman" w:eastAsia="仿宋_GB2312" w:cs="仿宋_GB2312"/>
          <w:kern w:val="0"/>
          <w:sz w:val="32"/>
          <w:szCs w:val="32"/>
          <w:lang w:val="en-US" w:eastAsia="zh-CN" w:bidi="ar"/>
        </w:rPr>
        <w:t>做优立案</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，精准提供诉讼服务。在海事法院诉讼服务中心醒目位置设立船员</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专窗，制定船员常用海事诉讼文书模板，为船员依法诉讼提供</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菜单式</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指引；协调志愿者为船员群体特别是伤残船员提供辅助服务；强化对涉及船员欠薪维权、人身损害赔偿等案件的释明指导；完善</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法护海江河</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智能化平台布局，为船员提供更便利的线上诉讼服务。</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仿宋_GB2312" w:cs="Times New Roman"/>
          <w:kern w:val="0"/>
          <w:sz w:val="32"/>
          <w:szCs w:val="32"/>
        </w:rPr>
      </w:pPr>
      <w:r>
        <w:rPr>
          <w:rFonts w:hint="eastAsia" w:ascii="仿宋_GB2312" w:hAnsi="Times New Roman" w:eastAsia="仿宋_GB2312" w:cs="仿宋_GB2312"/>
          <w:kern w:val="0"/>
          <w:sz w:val="32"/>
          <w:szCs w:val="32"/>
          <w:lang w:val="en-US" w:eastAsia="zh-CN" w:bidi="ar"/>
        </w:rPr>
        <w:t>做优诉中</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，实质推动案结事了。出台小额诉讼工作指引，促进船员纠纷依法适用小额诉讼或采取要素式审判方式，减少船员维权程序成本；针对船员劳务纠纷，广泛开展巡回审判，落实</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示范诉讼</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集中调解</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，实现办结一案、化解一片。</w:t>
      </w:r>
    </w:p>
    <w:p>
      <w:pPr>
        <w:keepNext w:val="0"/>
        <w:keepLines w:val="0"/>
        <w:widowControl/>
        <w:suppressLineNumbers w:val="0"/>
        <w:spacing w:before="0" w:beforeAutospacing="0" w:after="0" w:afterAutospacing="0" w:line="580" w:lineRule="exact"/>
        <w:ind w:left="0" w:right="0" w:firstLine="640" w:firstLineChars="200"/>
        <w:jc w:val="both"/>
        <w:rPr>
          <w:rFonts w:hint="default" w:ascii="Times New Roman" w:hAnsi="Times New Roman" w:eastAsia="方正仿宋_GBK" w:cs="Times New Roman"/>
          <w:kern w:val="2"/>
          <w:sz w:val="24"/>
          <w:szCs w:val="24"/>
        </w:rPr>
      </w:pPr>
      <w:r>
        <w:rPr>
          <w:rFonts w:hint="eastAsia" w:ascii="仿宋_GB2312" w:hAnsi="Times New Roman" w:eastAsia="仿宋_GB2312" w:cs="仿宋_GB2312"/>
          <w:kern w:val="0"/>
          <w:sz w:val="32"/>
          <w:szCs w:val="32"/>
          <w:lang w:val="en-US" w:eastAsia="zh-CN" w:bidi="ar"/>
        </w:rPr>
        <w:t>做优诉后</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绿色通道</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，高效兑现胜诉权益。常态化开展</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小标的大民生</w:t>
      </w:r>
      <w:r>
        <w:rPr>
          <w:rFonts w:hint="default" w:ascii="Times New Roman" w:hAnsi="Times New Roman" w:eastAsia="仿宋_GB2312" w:cs="Times New Roman"/>
          <w:kern w:val="0"/>
          <w:sz w:val="32"/>
          <w:szCs w:val="32"/>
          <w:lang w:val="en-US" w:eastAsia="zh-CN" w:bidi="ar"/>
        </w:rPr>
        <w:t>”</w:t>
      </w:r>
      <w:r>
        <w:rPr>
          <w:rFonts w:hint="eastAsia" w:ascii="仿宋_GB2312" w:hAnsi="Times New Roman" w:eastAsia="仿宋_GB2312" w:cs="仿宋_GB2312"/>
          <w:kern w:val="0"/>
          <w:sz w:val="32"/>
          <w:szCs w:val="32"/>
          <w:lang w:val="en-US" w:eastAsia="zh-CN" w:bidi="ar"/>
        </w:rPr>
        <w:t>船员劳务、人身损害等民生案件集中执行行动，高效兑现船员胜诉权益。</w:t>
      </w:r>
      <w:r>
        <w:rPr>
          <w:rFonts w:hint="eastAsia" w:ascii="仿宋_GB2312" w:hAnsi="Calibri" w:eastAsia="仿宋_GB2312" w:cs="仿宋_GB2312"/>
          <w:b/>
          <w:bCs/>
          <w:kern w:val="2"/>
          <w:sz w:val="32"/>
          <w:szCs w:val="32"/>
          <w:lang w:val="en-US" w:eastAsia="zh-CN" w:bidi="ar"/>
        </w:rPr>
        <w:t>（责任单位：南京海事法院）</w:t>
      </w:r>
    </w:p>
    <w:p>
      <w:pPr>
        <w:widowControl/>
        <w:spacing w:line="579" w:lineRule="exact"/>
        <w:ind w:firstLine="480" w:firstLineChars="200"/>
        <w:rPr>
          <w:rFonts w:ascii="Times New Roman" w:hAnsi="Times New Roman" w:eastAsia="方正仿宋_GBK" w:cs="Times New Roman"/>
          <w:sz w:val="24"/>
        </w:rPr>
      </w:pPr>
    </w:p>
    <w:sectPr>
      <w:footerReference r:id="rId3" w:type="default"/>
      <w:pgSz w:w="11906" w:h="16838"/>
      <w:pgMar w:top="2098" w:right="1474" w:bottom="1985" w:left="1588"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3000502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宋体S-超大字符集">
    <w:panose1 w:val="02000000000000000000"/>
    <w:charset w:val="86"/>
    <w:family w:val="auto"/>
    <w:pitch w:val="default"/>
    <w:sig w:usb0="00000001" w:usb1="08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906275"/>
      <w:docPartObj>
        <w:docPartGallery w:val="autotext"/>
      </w:docPartObj>
    </w:sdtPr>
    <w:sdtEndPr>
      <w:rPr>
        <w:rFonts w:ascii="宋体" w:hAnsi="宋体" w:eastAsia="宋体"/>
        <w:sz w:val="28"/>
        <w:szCs w:val="28"/>
      </w:rPr>
    </w:sdtEndPr>
    <w:sdtContent>
      <w:p>
        <w:pPr>
          <w:pStyle w:val="4"/>
          <w:jc w:val="center"/>
          <w:rPr>
            <w:rFonts w:ascii="宋体" w:hAnsi="宋体" w:eastAsia="宋体"/>
            <w:sz w:val="28"/>
            <w:szCs w:val="28"/>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hint="eastAsia" w:ascii="宋体" w:hAnsi="宋体" w:eastAsia="宋体"/>
            <w:sz w:val="28"/>
            <w:szCs w:val="28"/>
          </w:rPr>
          <w:t>—</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false"/>
  <w:bordersDoNotSurroundFooter w:val="fals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1MGEyZjNmY2U2NTllMzAwNjlkMjlhMjk3OGEwZDcifQ=="/>
  </w:docVars>
  <w:rsids>
    <w:rsidRoot w:val="03BA1B99"/>
    <w:rsid w:val="00015A02"/>
    <w:rsid w:val="000439C5"/>
    <w:rsid w:val="000460AD"/>
    <w:rsid w:val="000E65C4"/>
    <w:rsid w:val="00131873"/>
    <w:rsid w:val="001A2795"/>
    <w:rsid w:val="001B3A0E"/>
    <w:rsid w:val="00217F06"/>
    <w:rsid w:val="002445B3"/>
    <w:rsid w:val="002B5483"/>
    <w:rsid w:val="002C1FB6"/>
    <w:rsid w:val="00311B94"/>
    <w:rsid w:val="00373E55"/>
    <w:rsid w:val="00384F91"/>
    <w:rsid w:val="00424D1A"/>
    <w:rsid w:val="0043706A"/>
    <w:rsid w:val="004455A8"/>
    <w:rsid w:val="00490FAF"/>
    <w:rsid w:val="004A3138"/>
    <w:rsid w:val="004F5558"/>
    <w:rsid w:val="005A4AE3"/>
    <w:rsid w:val="005D705D"/>
    <w:rsid w:val="006770B6"/>
    <w:rsid w:val="00694992"/>
    <w:rsid w:val="006C7D3D"/>
    <w:rsid w:val="006D3451"/>
    <w:rsid w:val="0071096B"/>
    <w:rsid w:val="00747F13"/>
    <w:rsid w:val="00794C64"/>
    <w:rsid w:val="007B0333"/>
    <w:rsid w:val="008D66DD"/>
    <w:rsid w:val="0094145E"/>
    <w:rsid w:val="00A11BFC"/>
    <w:rsid w:val="00A2508F"/>
    <w:rsid w:val="00A31B00"/>
    <w:rsid w:val="00A34A41"/>
    <w:rsid w:val="00BD4F64"/>
    <w:rsid w:val="00C6356D"/>
    <w:rsid w:val="00CE6796"/>
    <w:rsid w:val="00D80CAC"/>
    <w:rsid w:val="00DA1CDD"/>
    <w:rsid w:val="00DC15A6"/>
    <w:rsid w:val="00DE54D4"/>
    <w:rsid w:val="00DF2B8F"/>
    <w:rsid w:val="00DF3D66"/>
    <w:rsid w:val="00E81DA2"/>
    <w:rsid w:val="00E90BF5"/>
    <w:rsid w:val="00EC263E"/>
    <w:rsid w:val="00F009AE"/>
    <w:rsid w:val="00F965D4"/>
    <w:rsid w:val="00FD6C83"/>
    <w:rsid w:val="018C4316"/>
    <w:rsid w:val="03BA1B99"/>
    <w:rsid w:val="04246559"/>
    <w:rsid w:val="06B04988"/>
    <w:rsid w:val="0C86379A"/>
    <w:rsid w:val="0EC108EB"/>
    <w:rsid w:val="15E056F0"/>
    <w:rsid w:val="17AF2468"/>
    <w:rsid w:val="196A266A"/>
    <w:rsid w:val="1BDD21C2"/>
    <w:rsid w:val="1DCF2F2D"/>
    <w:rsid w:val="1EA72655"/>
    <w:rsid w:val="21C0470A"/>
    <w:rsid w:val="28503431"/>
    <w:rsid w:val="29D60CAE"/>
    <w:rsid w:val="2AD20C5D"/>
    <w:rsid w:val="2F0E6236"/>
    <w:rsid w:val="308D3CB6"/>
    <w:rsid w:val="31144E94"/>
    <w:rsid w:val="31D3074A"/>
    <w:rsid w:val="35324954"/>
    <w:rsid w:val="354D68A0"/>
    <w:rsid w:val="395C529E"/>
    <w:rsid w:val="41F45941"/>
    <w:rsid w:val="45D1241A"/>
    <w:rsid w:val="49DC0CBB"/>
    <w:rsid w:val="51AE26BC"/>
    <w:rsid w:val="51B30516"/>
    <w:rsid w:val="53591E50"/>
    <w:rsid w:val="58E2665F"/>
    <w:rsid w:val="590D4A73"/>
    <w:rsid w:val="5FFF2857"/>
    <w:rsid w:val="65235F42"/>
    <w:rsid w:val="67A27113"/>
    <w:rsid w:val="69891532"/>
    <w:rsid w:val="6D8D1A6E"/>
    <w:rsid w:val="6E882FC4"/>
    <w:rsid w:val="6E8B59AE"/>
    <w:rsid w:val="70735A39"/>
    <w:rsid w:val="707C6CE3"/>
    <w:rsid w:val="79112886"/>
    <w:rsid w:val="7C520C06"/>
    <w:rsid w:val="7FF7CD1E"/>
    <w:rsid w:val="7FFEC2FD"/>
    <w:rsid w:val="BFEF2971"/>
    <w:rsid w:val="DBFF9C13"/>
    <w:rsid w:val="FBBDE674"/>
    <w:rsid w:val="FD6FE6F6"/>
    <w:rsid w:val="FEFE9AF8"/>
    <w:rsid w:val="FFEB69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autoSpaceDE w:val="0"/>
      <w:autoSpaceDN w:val="0"/>
      <w:ind w:left="109"/>
      <w:jc w:val="left"/>
    </w:pPr>
    <w:rPr>
      <w:rFonts w:ascii="宋体" w:hAnsi="宋体" w:cs="宋体"/>
      <w:kern w:val="0"/>
      <w:sz w:val="32"/>
      <w:szCs w:val="32"/>
      <w:lang w:val="zh-CN" w:bidi="zh-CN"/>
    </w:rPr>
  </w:style>
  <w:style w:type="paragraph" w:styleId="3">
    <w:name w:val="Date"/>
    <w:basedOn w:val="1"/>
    <w:next w:val="1"/>
    <w:link w:val="9"/>
    <w:qFormat/>
    <w:uiPriority w:val="0"/>
    <w:pPr>
      <w:ind w:left="100" w:leftChars="2500"/>
    </w:p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keepNext w:val="0"/>
      <w:keepLines w:val="0"/>
      <w:widowControl w:val="0"/>
      <w:suppressLineNumbers w:val="0"/>
      <w:spacing w:before="0" w:beforeAutospacing="1" w:after="0" w:afterAutospacing="1"/>
      <w:jc w:val="left"/>
    </w:pPr>
    <w:rPr>
      <w:rFonts w:hint="default" w:ascii="Calibri" w:hAnsi="Calibri" w:eastAsia="仿宋_GB2312" w:cs="Times New Roman"/>
      <w:kern w:val="0"/>
      <w:sz w:val="24"/>
      <w:szCs w:val="24"/>
      <w:lang w:val="en-US" w:eastAsia="zh-CN" w:bidi="ar"/>
    </w:rPr>
  </w:style>
  <w:style w:type="character" w:customStyle="1" w:styleId="9">
    <w:name w:val="日期 字符"/>
    <w:basedOn w:val="8"/>
    <w:link w:val="3"/>
    <w:qFormat/>
    <w:uiPriority w:val="0"/>
    <w:rPr>
      <w:kern w:val="2"/>
      <w:sz w:val="21"/>
      <w:szCs w:val="22"/>
    </w:rPr>
  </w:style>
  <w:style w:type="character" w:customStyle="1" w:styleId="10">
    <w:name w:val="页脚 字符"/>
    <w:basedOn w:val="8"/>
    <w:link w:val="4"/>
    <w:qFormat/>
    <w:uiPriority w:val="99"/>
    <w:rPr>
      <w:kern w:val="2"/>
      <w:sz w:val="1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553</Words>
  <Characters>3154</Characters>
  <Lines>1</Lines>
  <Paragraphs>1</Paragraphs>
  <TotalTime>3</TotalTime>
  <ScaleCrop>false</ScaleCrop>
  <LinksUpToDate>false</LinksUpToDate>
  <CharactersWithSpaces>3700</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2022-07-01T10:18:00Z</dcterms:created>
  <dc:creator>咦</dc:creator>
  <cp:lastModifiedBy>user</cp:lastModifiedBy>
  <cp:lastPrinted>2024-06-14T00:39:00Z</cp:lastPrinted>
  <dcterms:modified xsi:type="dcterms:W3CDTF">2024-06-13T15:31:53Z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9E46135CD578411083989152BEA558BB</vt:lpwstr>
  </property>
</Properties>
</file>