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hint="default" w:ascii="黑体" w:hAnsi="黑体" w:eastAsia="黑体" w:cs="方正黑体_GBK"/>
          <w:b w:val="0"/>
          <w:bCs w:val="0"/>
          <w:color w:val="000000"/>
          <w:sz w:val="32"/>
          <w:szCs w:val="32"/>
          <w:lang w:val="en-US" w:eastAsia="zh-CN"/>
        </w:rPr>
      </w:pPr>
      <w:r>
        <w:rPr>
          <w:rFonts w:hint="eastAsia" w:ascii="黑体" w:hAnsi="黑体" w:eastAsia="黑体" w:cs="方正黑体_GBK"/>
          <w:b w:val="0"/>
          <w:bCs w:val="0"/>
          <w:color w:val="000000"/>
          <w:sz w:val="32"/>
          <w:szCs w:val="32"/>
          <w:lang w:eastAsia="zh-CN"/>
        </w:rPr>
        <w:t>附件</w:t>
      </w:r>
      <w:r>
        <w:rPr>
          <w:rFonts w:hint="eastAsia" w:ascii="黑体" w:hAnsi="黑体" w:eastAsia="黑体" w:cs="方正黑体_GBK"/>
          <w:b w:val="0"/>
          <w:bCs w:val="0"/>
          <w:color w:val="000000"/>
          <w:sz w:val="32"/>
          <w:szCs w:val="32"/>
          <w:lang w:val="en-US" w:eastAsia="zh-CN"/>
        </w:rPr>
        <w:t>1</w:t>
      </w:r>
    </w:p>
    <w:p>
      <w:pPr>
        <w:spacing w:line="560" w:lineRule="exact"/>
        <w:jc w:val="center"/>
        <w:rPr>
          <w:rFonts w:hint="eastAsia" w:ascii="黑体" w:hAnsi="黑体" w:eastAsia="黑体" w:cs="方正黑体_GBK"/>
          <w:b/>
          <w:bCs/>
          <w:color w:val="000000"/>
          <w:sz w:val="36"/>
          <w:szCs w:val="36"/>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bCs w:val="0"/>
          <w:color w:val="000000"/>
          <w:spacing w:val="-6"/>
          <w:sz w:val="44"/>
          <w:szCs w:val="44"/>
        </w:rPr>
      </w:pPr>
      <w:r>
        <w:rPr>
          <w:rFonts w:hint="eastAsia" w:ascii="方正小标宋_GBK" w:hAnsi="方正小标宋_GBK" w:eastAsia="方正小标宋_GBK" w:cs="方正小标宋_GBK"/>
          <w:b w:val="0"/>
          <w:bCs w:val="0"/>
          <w:color w:val="000000"/>
          <w:spacing w:val="-6"/>
          <w:sz w:val="44"/>
          <w:szCs w:val="44"/>
        </w:rPr>
        <w:t>江苏省司法行政领域行政处罚裁量适用规定</w:t>
      </w: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仿宋" w:hAnsi="仿宋" w:eastAsia="仿宋" w:cs="仿宋_GB2312"/>
          <w:color w:val="000000"/>
          <w:sz w:val="32"/>
          <w:szCs w:val="32"/>
        </w:rPr>
      </w:pP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第一条 </w:t>
      </w:r>
      <w:r>
        <w:rPr>
          <w:rFonts w:hint="eastAsia" w:ascii="仿宋" w:hAnsi="仿宋" w:eastAsia="仿宋" w:cs="仿宋_GB2312"/>
          <w:color w:val="000000"/>
          <w:sz w:val="32"/>
          <w:szCs w:val="32"/>
        </w:rPr>
        <w:t>为了规范本省司法行政部门行政处罚行为，依法准确行使行政处罚裁量权，根据《中华人民共和国行政处罚法》等法律、法规、规章及《国务院办公厅关于进一步规范行政裁量权基准制定和管理工作的意见》（国办发〔2022〕27号）等有关规定，结合本省实际，制定本规定。</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第二条 </w:t>
      </w:r>
      <w:r>
        <w:rPr>
          <w:rFonts w:hint="eastAsia" w:ascii="仿宋" w:hAnsi="仿宋" w:eastAsia="仿宋" w:cs="仿宋_GB2312"/>
          <w:color w:val="000000"/>
          <w:sz w:val="32"/>
          <w:szCs w:val="32"/>
        </w:rPr>
        <w:t>本省各级司法行政部门行使行政处罚裁量权时，适用本规定及相关行政处罚裁量基准。</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法律、法规、规章另有规定的，从其规定。</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第三条 </w:t>
      </w:r>
      <w:r>
        <w:rPr>
          <w:rFonts w:hint="eastAsia" w:ascii="仿宋" w:hAnsi="仿宋" w:eastAsia="仿宋" w:cs="仿宋_GB2312"/>
          <w:color w:val="000000"/>
          <w:sz w:val="32"/>
          <w:szCs w:val="32"/>
        </w:rPr>
        <w:t>本规定所称行政处罚裁量权，是指本省司法行政部门在实施行政处罚时，根据法律、法规、规章的规定，综合考虑违法行为的事实、性质、情节、社会危害程度以及当事人主观过错等因素，决定是否给予行政处罚、给予行政处罚的种类和幅度的权限。</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第四条 </w:t>
      </w:r>
      <w:r>
        <w:rPr>
          <w:rFonts w:hint="eastAsia" w:ascii="仿宋" w:hAnsi="仿宋" w:eastAsia="仿宋" w:cs="仿宋_GB2312"/>
          <w:color w:val="000000"/>
          <w:sz w:val="32"/>
          <w:szCs w:val="32"/>
        </w:rPr>
        <w:t>行使行政处罚裁量权，应当以事实为依据，以法律为准绳，遵循处罚法定、公正公开、过罚相当、处罚与教育相结合和综合裁量原则。</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第五条 </w:t>
      </w:r>
      <w:r>
        <w:rPr>
          <w:rFonts w:hint="eastAsia" w:ascii="仿宋" w:hAnsi="仿宋" w:eastAsia="仿宋" w:cs="仿宋_GB2312"/>
          <w:color w:val="000000"/>
          <w:sz w:val="32"/>
          <w:szCs w:val="32"/>
        </w:rPr>
        <w:t>司法行政部门对行政违法行为作出行政处罚裁量时，应当严格依据证据，根据不同违法行为的特点，综合考虑以下因素：</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（一）违法行为侵害的具体对象；</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（二）实施违法行为的方法、手段；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（三）违法行为的规模或者涉及的区域范围；</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（四）违法行为的持续时间、频次；</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（五）违法行为的违法所得或者获得的其他不正当利益；</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（六）违法行为的危害后果和社会影响程度；</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（七）当事人的主观过错程度；</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（八）当事人在共同实施违法行为中的地位、作用；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（九）当事人配合调查处理、改正违法行为、消除危害后果的情况；</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（十）其他因素。</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第六条 </w:t>
      </w:r>
      <w:r>
        <w:rPr>
          <w:rFonts w:hint="eastAsia" w:ascii="仿宋" w:hAnsi="仿宋" w:eastAsia="仿宋" w:cs="仿宋_GB2312"/>
          <w:color w:val="000000"/>
          <w:sz w:val="32"/>
          <w:szCs w:val="32"/>
        </w:rPr>
        <w:t>违法行为同时具有多个裁量因素的，作出裁量决定时应当结合案件具体情况，综合考虑案件所有裁量因素。在调节处罚幅度时，一般采取同向因素相叠加、逆向因素相抵减的方式，也可以将对整个案情影响较大的裁量因素作为主要考虑因素。</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第七条 </w:t>
      </w:r>
      <w:r>
        <w:rPr>
          <w:rFonts w:hint="eastAsia" w:ascii="仿宋" w:hAnsi="仿宋" w:eastAsia="仿宋" w:cs="仿宋_GB2312"/>
          <w:color w:val="000000"/>
          <w:sz w:val="32"/>
          <w:szCs w:val="32"/>
        </w:rPr>
        <w:t>司法行政领域行政处罚裁量阶次分为不予行政处罚、减轻行政处罚、从轻行政处罚、一般行政处罚和从重行政处罚。</w:t>
      </w:r>
    </w:p>
    <w:p>
      <w:pPr>
        <w:pStyle w:val="3"/>
        <w:keepNext w:val="0"/>
        <w:keepLines w:val="0"/>
        <w:pageBreakBefore w:val="0"/>
        <w:widowControl/>
        <w:kinsoku/>
        <w:wordWrap/>
        <w:overflowPunct/>
        <w:topLinePunct w:val="0"/>
        <w:autoSpaceDE/>
        <w:autoSpaceDN/>
        <w:bidi w:val="0"/>
        <w:adjustRightInd/>
        <w:snapToGrid/>
        <w:spacing w:line="600" w:lineRule="exact"/>
        <w:ind w:firstLine="64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法律、法规、规章中的处罚事项不适宜细化量化的，不再划分裁量阶次。</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第八条 </w:t>
      </w:r>
      <w:r>
        <w:rPr>
          <w:rFonts w:hint="eastAsia" w:ascii="仿宋" w:hAnsi="仿宋" w:eastAsia="仿宋" w:cs="仿宋_GB2312"/>
          <w:color w:val="000000"/>
          <w:sz w:val="32"/>
          <w:szCs w:val="32"/>
        </w:rPr>
        <w:t>当事人有下列情形之一的，应当不予行政处罚：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（一）不满十四周岁的未成年人有违法行为的；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（二）精神病人、智力残疾人在不能辨认或者不能控制自己行为时有违法行为的；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（三）违法行为轻微并及时改正，没有造成危害后果的；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（四）当事人有证据足以证明没有主观过错的，但法律、行政法规另有规定的除外；</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（五）违法行为在二年内未被发现的（涉及公民生命健康安全、金融安全且有危害后果的，上述期限延长至五年），但法律另有规定的除外。</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当事人初次违法且危害后果轻微并及时改正的，可以不予行政处罚。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对当事人的违法行为依法不予行政处罚的，司法行政机关应当对当事人进行教育。</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第九条 </w:t>
      </w:r>
      <w:r>
        <w:rPr>
          <w:rFonts w:hint="eastAsia" w:ascii="仿宋" w:hAnsi="仿宋" w:eastAsia="仿宋" w:cs="仿宋_GB2312"/>
          <w:color w:val="000000"/>
          <w:sz w:val="32"/>
          <w:szCs w:val="32"/>
        </w:rPr>
        <w:t>当事人有下列情形之一的，应当从轻或者减轻行政处罚：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（一）已满十四周岁不满十八周岁的未成年人有违法行为的；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（二）主动消除或者减轻违法行为危害后果的；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（三）受他人胁迫或者诱骗实施违法行为的；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（四）主动供述司法行政机关尚未掌握的违法行为的；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（五）配合司法行政机关查处违法行为有立功表现的；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（六）法律、法规、规章规定其他应当从轻或者减轻行政处罚的。</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第十条 </w:t>
      </w:r>
      <w:r>
        <w:rPr>
          <w:rFonts w:hint="eastAsia" w:ascii="仿宋" w:hAnsi="仿宋" w:eastAsia="仿宋" w:cs="仿宋_GB2312"/>
          <w:color w:val="000000"/>
          <w:sz w:val="32"/>
          <w:szCs w:val="32"/>
        </w:rPr>
        <w:t>下列情形可以作为从轻或者减轻行政处罚的考量因素：</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（一）尚未完全丧失辨认或者控制自己行为能力的精神病人、智力残疾人有违法行为的；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（二）积极配合调查并主动提供证据材料的；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（三）违法行为轻微，社会危害性较小的；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（四）在共同违法行为中起次要或者辅助作用的；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（五）主动与违法行为侵害的对象达成和解的。</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第十一条 </w:t>
      </w:r>
      <w:r>
        <w:rPr>
          <w:rFonts w:hint="eastAsia" w:ascii="仿宋" w:hAnsi="仿宋" w:eastAsia="仿宋" w:cs="仿宋_GB2312"/>
          <w:color w:val="000000"/>
          <w:sz w:val="32"/>
          <w:szCs w:val="32"/>
        </w:rPr>
        <w:t>下列情形可以作为从重行政处罚的考量因素：</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（一）违法行为危及国家安全、公共安全或者严重扰乱社会管理秩序的；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（二）涉案数额或者违法所得数额较大的，或者谋取非法利益的；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（三）违法行为造成较重危害后果的，或者造成较大社会影响的；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（四）教唆、胁迫、诱骗他人实施违法行为的；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（五）因同一性质的违法行为受过刑事处罚，或者自司法行政机关作出行政处罚决定之日起一年内再次发生同一性质违法行为的；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（六）在司法行政机关查处违法行为期间，拒不纠正或者继续实施违法行为的；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（七）对举报人、投诉人、证人及司法行政执法人员打击报复的；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（八）提供虚假证据，转移、隐匿、销毁证据的。</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法律、法规、规章规定应当从重处罚的，从其规定。</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第十二条 </w:t>
      </w:r>
      <w:r>
        <w:rPr>
          <w:rFonts w:hint="eastAsia" w:ascii="仿宋" w:hAnsi="仿宋" w:eastAsia="仿宋" w:cs="仿宋_GB2312"/>
          <w:color w:val="000000"/>
          <w:sz w:val="32"/>
          <w:szCs w:val="32"/>
        </w:rPr>
        <w:t>当事人不具备不予行政处罚、从轻或者减轻行政处罚、从重行政处罚情节的，给予一般行政处罚。</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第十三条 </w:t>
      </w:r>
      <w:r>
        <w:rPr>
          <w:rFonts w:hint="eastAsia" w:ascii="仿宋" w:hAnsi="仿宋" w:eastAsia="仿宋" w:cs="仿宋_GB2312"/>
          <w:color w:val="000000"/>
          <w:sz w:val="32"/>
          <w:szCs w:val="32"/>
        </w:rPr>
        <w:t>从轻行政处罚的，在依法可以选择的处罚种类和处罚幅度内适用较轻、较少的处罚种类或者较低的处罚幅度，但不得突破法律、法规、规章规定的处罚种类或者处罚幅度的最低限度。</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减轻行政处罚的，适用法定行政处罚最低限度以下的处罚幅度。包括违法行为应当并处时不并处，也包括在法定最低限度以下确定罚款数额或者停止执业、停业整顿的期限。</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从重行政处罚的，在依法可以选择的处罚种类和处罚幅度内，适用较重、较多的处罚种类或者较高的处罚幅度，但不得突破法律、法规、规章规定的处罚种类或者处罚幅度的最高限度。</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第十四条 </w:t>
      </w:r>
      <w:r>
        <w:rPr>
          <w:rFonts w:hint="eastAsia" w:ascii="仿宋" w:hAnsi="仿宋" w:eastAsia="仿宋" w:cs="仿宋_GB2312"/>
          <w:color w:val="000000"/>
          <w:sz w:val="32"/>
          <w:szCs w:val="32"/>
        </w:rPr>
        <w:t>法律、法规、规章规定应当并处的行政处罚种类，不得选择单处，但依法减轻行政处罚的除外。</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法律、法规、规章规定可以单处也可以并处不同种类行政处罚的，遵循以下适用规则：</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（一）对具有减轻行政处罚情形同时无从重处罚情形的，不再实施可并处的罚种；</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（二）对具有从轻行政处罚情形同时无从重处罚情形的，可以不再实施可并处的罚种；</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（三）对具有一般或者从重行政处罚情形的，应当实施可并处的罚种。</w:t>
      </w:r>
    </w:p>
    <w:p>
      <w:pPr>
        <w:keepNext w:val="0"/>
        <w:keepLines w:val="0"/>
        <w:pageBreakBefore w:val="0"/>
        <w:kinsoku/>
        <w:wordWrap/>
        <w:overflowPunct/>
        <w:topLinePunct w:val="0"/>
        <w:autoSpaceDE/>
        <w:autoSpaceDN/>
        <w:bidi w:val="0"/>
        <w:adjustRightInd/>
        <w:snapToGrid/>
        <w:spacing w:line="600" w:lineRule="exact"/>
        <w:ind w:firstLine="629" w:firstLineChars="196"/>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第十五条 </w:t>
      </w:r>
      <w:r>
        <w:rPr>
          <w:rFonts w:hint="eastAsia" w:ascii="仿宋" w:hAnsi="仿宋" w:eastAsia="仿宋" w:cs="仿宋_GB2312"/>
          <w:color w:val="000000"/>
          <w:sz w:val="32"/>
          <w:szCs w:val="32"/>
        </w:rPr>
        <w:t>法律、法规、规章设定的罚款、停止执业、停业整顿等处罚有一定幅度的，根据违法情节，在处罚幅度的最高限值与最低限值之间合理划分阶次。法律、法规、规章对罚款、停止执业、停业整顿等的处罚幅度另有规定的，从其规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具有从轻行政处罚情形同时无从重处罚情形的，按低于处罚幅度的最高限值与最低限值的中间值进行处罚；具有从重行政处罚情形同时无从轻处罚情形的，应当高于中间值处罚。</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法律、法规、规章只规定最高处罚限值没有规定最低处罚限值的，罚款的最低数额（倍数）或者停止执业、停业整顿的最少期限以零计算。</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第十六条</w:t>
      </w:r>
      <w:r>
        <w:rPr>
          <w:rFonts w:hint="eastAsia" w:ascii="仿宋" w:hAnsi="仿宋" w:eastAsia="仿宋" w:cs="仿宋_GB2312"/>
          <w:color w:val="000000"/>
          <w:sz w:val="32"/>
          <w:szCs w:val="32"/>
        </w:rPr>
        <w:t xml:space="preserve"> 当事人有违法所得的，除依法应当退赔的外，应当予以没收。</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违法所得是指实施违法行为所取得的款项。</w:t>
      </w:r>
      <w:r>
        <w:rPr>
          <w:rFonts w:hint="eastAsia" w:ascii="仿宋" w:hAnsi="仿宋" w:eastAsia="仿宋"/>
          <w:sz w:val="32"/>
          <w:szCs w:val="32"/>
        </w:rPr>
        <w:t>法律、行政法规、部门规章</w:t>
      </w:r>
      <w:r>
        <w:rPr>
          <w:rFonts w:hint="eastAsia" w:ascii="仿宋" w:hAnsi="仿宋" w:eastAsia="仿宋" w:cs="仿宋_GB2312"/>
          <w:color w:val="000000"/>
          <w:sz w:val="32"/>
          <w:szCs w:val="32"/>
        </w:rPr>
        <w:t>对违法所得的计算另有规定的，从其规定。</w:t>
      </w:r>
    </w:p>
    <w:p>
      <w:pPr>
        <w:keepNext w:val="0"/>
        <w:keepLines w:val="0"/>
        <w:pageBreakBefore w:val="0"/>
        <w:numPr>
          <w:ilvl w:val="255"/>
          <w:numId w:val="0"/>
        </w:numPr>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第十七条 </w:t>
      </w:r>
      <w:r>
        <w:rPr>
          <w:rFonts w:hint="eastAsia" w:ascii="仿宋" w:hAnsi="仿宋" w:eastAsia="仿宋" w:cs="仿宋_GB2312"/>
          <w:color w:val="000000"/>
          <w:sz w:val="32"/>
          <w:szCs w:val="32"/>
        </w:rPr>
        <w:t>本规定所附《江苏省司法行政领域行政处罚裁量基准》与本规定一并执行。本省各级司法行政部门行使行政处罚裁量权原则上应当直接适用。</w:t>
      </w:r>
    </w:p>
    <w:p>
      <w:pPr>
        <w:keepNext w:val="0"/>
        <w:keepLines w:val="0"/>
        <w:pageBreakBefore w:val="0"/>
        <w:numPr>
          <w:ilvl w:val="255"/>
          <w:numId w:val="0"/>
        </w:numPr>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省司法厅结合工作实际，对本规定及《江苏省司法行政领域行政处罚裁量基准》适时修订。</w:t>
      </w:r>
    </w:p>
    <w:p>
      <w:pPr>
        <w:keepNext w:val="0"/>
        <w:keepLines w:val="0"/>
        <w:pageBreakBefore w:val="0"/>
        <w:numPr>
          <w:ilvl w:val="255"/>
          <w:numId w:val="0"/>
        </w:numPr>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 xml:space="preserve">第十八条 </w:t>
      </w:r>
      <w:r>
        <w:rPr>
          <w:rFonts w:hint="eastAsia" w:ascii="仿宋" w:hAnsi="仿宋" w:eastAsia="仿宋" w:cs="仿宋_GB2312"/>
          <w:color w:val="000000"/>
          <w:sz w:val="32"/>
          <w:szCs w:val="32"/>
        </w:rPr>
        <w:t>本规定及《江苏省司法行政领域行政处罚裁量基准》所称“以上”“以下”均包含本数，所称“超过”不包含本数。但在减轻行政处罚情形下，适用法定裁量幅度“以下”行政处罚，此处“以下”不包含本数。</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第十九条</w:t>
      </w:r>
      <w:r>
        <w:rPr>
          <w:rFonts w:hint="eastAsia" w:ascii="仿宋" w:hAnsi="仿宋" w:eastAsia="仿宋" w:cs="仿宋_GB2312"/>
          <w:color w:val="000000"/>
          <w:sz w:val="32"/>
          <w:szCs w:val="32"/>
        </w:rPr>
        <w:t xml:space="preserve"> 本规定由江苏省司法厅负责解释。</w:t>
      </w:r>
    </w:p>
    <w:p>
      <w:pPr>
        <w:keepNext w:val="0"/>
        <w:keepLines w:val="0"/>
        <w:pageBreakBefore w:val="0"/>
        <w:kinsoku/>
        <w:wordWrap/>
        <w:overflowPunct/>
        <w:topLinePunct w:val="0"/>
        <w:autoSpaceDE/>
        <w:autoSpaceDN/>
        <w:bidi w:val="0"/>
        <w:adjustRightInd/>
        <w:snapToGrid/>
        <w:spacing w:line="600" w:lineRule="exact"/>
        <w:ind w:firstLine="642" w:firstLineChars="200"/>
        <w:textAlignment w:val="auto"/>
        <w:rPr>
          <w:rFonts w:ascii="仿宋" w:hAnsi="仿宋" w:eastAsia="仿宋" w:cs="仿宋_GB2312"/>
          <w:color w:val="000000"/>
          <w:sz w:val="32"/>
          <w:szCs w:val="32"/>
        </w:rPr>
      </w:pPr>
      <w:r>
        <w:rPr>
          <w:rFonts w:hint="eastAsia" w:ascii="仿宋" w:hAnsi="仿宋" w:eastAsia="仿宋" w:cs="仿宋_GB2312"/>
          <w:b/>
          <w:bCs/>
          <w:color w:val="000000"/>
          <w:sz w:val="32"/>
          <w:szCs w:val="32"/>
        </w:rPr>
        <w:t>第二十条</w:t>
      </w:r>
      <w:r>
        <w:rPr>
          <w:rFonts w:hint="eastAsia" w:ascii="仿宋" w:hAnsi="仿宋" w:eastAsia="仿宋" w:cs="仿宋_GB2312"/>
          <w:color w:val="000000"/>
          <w:sz w:val="32"/>
          <w:szCs w:val="32"/>
        </w:rPr>
        <w:t xml:space="preserve"> 本规定自2024年1月30日起施行，有效期至2029年1月30日。</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_GB2312"/>
          <w:color w:val="000000"/>
          <w:sz w:val="32"/>
          <w:szCs w:val="32"/>
        </w:rPr>
      </w:pPr>
      <w:r>
        <w:rPr>
          <w:rFonts w:hint="eastAsia" w:ascii="仿宋" w:hAnsi="仿宋" w:eastAsia="仿宋" w:cs="仿宋_GB2312"/>
          <w:color w:val="000000"/>
          <w:sz w:val="32"/>
          <w:szCs w:val="32"/>
        </w:rPr>
        <w:t>附件：江苏省司法行政领域行政处罚裁量基准</w:t>
      </w:r>
    </w:p>
    <w:p>
      <w:pPr>
        <w:sectPr>
          <w:footerReference r:id="rId3" w:type="default"/>
          <w:pgSz w:w="11906" w:h="16838"/>
          <w:pgMar w:top="1440" w:right="1800" w:bottom="1440" w:left="1800" w:header="851" w:footer="992" w:gutter="0"/>
          <w:pgNumType w:fmt="decimal"/>
          <w:cols w:space="425" w:num="1"/>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nchorCtr="false" upright="fals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WAAAAZHJzL1BLAQIUABQAAAAIAIdO4kDOqXm5zwAAAAUBAAAP&#10;AAAAAAAAAAEAIAAAADgAAABkcnMvZG93bnJldi54bWxQSwECFAAUAAAACACHTuJA9vPBLtIBAACE&#10;AwAADgAAAAAAAAABACAAAAA0AQAAZHJzL2Uyb0RvYy54bWxQSwUGAAAAAAYABgBZAQAAeAU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A92B15A1"/>
    <w:rsid w:val="A92B1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Normal (Web)"/>
    <w:basedOn w:val="1"/>
    <w:qFormat/>
    <w:uiPriority w:val="99"/>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2024-01-04T10:29:00Z</dcterms:created>
  <dc:creator>user</dc:creator>
  <cp:lastModifiedBy>user</cp:lastModifiedBy>
  <dcterms:modified xsi:type="dcterms:W3CDTF">2024-01-04T10:30:18Z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ies>
</file>