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header+xml" PartName="/word/header5.xml"/>
  <Override ContentType="application/vnd.openxmlformats-officedocument.wordprocessingml.header+xml" PartName="/word/header6.xml"/>
  <Default ContentType="image/jpeg" Extension="jpeg"/>
  <Default ContentType="image/png" Extension="png"/>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c>
          <w:tcPr>
            <w:tcW w:w="509" w:type="dxa"/>
            <w:vAlign w:val="top"/>
          </w:tcPr>
          <w:p>
            <w:pPr>
              <w:pStyle w:val="18"/>
              <w:framePr w:wrap="notBeside" w:hAnchor="page" w:v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vAlign w:val="top"/>
          </w:tcPr>
          <w:p>
            <w:pPr>
              <w:pStyle w:val="18"/>
              <w:framePr w:wrap="notBeside" w:hAnchor="page" w:vAnchor="page" w:x="1372" w:y="568"/>
              <w:tabs>
                <w:tab w:val="clear" w:pos="4153"/>
                <w:tab w:val="clear" w:pos="8306"/>
              </w:tabs>
              <w:spacing w:line="240" w:lineRule="auto"/>
              <w:jc w:val="both"/>
              <w:rPr>
                <w:rFonts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03.160</w:t>
            </w:r>
            <w:r>
              <w:rPr>
                <w:rFonts w:ascii="黑体" w:hAnsi="黑体" w:eastAsia="黑体"/>
                <w:sz w:val="21"/>
                <w:szCs w:val="21"/>
              </w:rPr>
              <w:fldChar w:fldCharType="end"/>
            </w:r>
            <w:bookmarkEnd w:id="0"/>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c>
          <w:tcPr>
            <w:tcW w:w="509" w:type="dxa"/>
            <w:vAlign w:val="top"/>
          </w:tcPr>
          <w:p>
            <w:pPr>
              <w:pStyle w:val="18"/>
              <w:framePr w:wrap="notBeside" w:hAnchor="page" w:v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vAlign w:val="top"/>
          </w:tcPr>
          <w:p>
            <w:pPr>
              <w:pStyle w:val="18"/>
              <w:framePr w:wrap="notBeside" w:hAnchor="page" w:v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1"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A01</w:t>
            </w:r>
            <w:r>
              <w:rPr>
                <w:rFonts w:ascii="黑体" w:hAnsi="黑体" w:eastAsia="黑体"/>
                <w:sz w:val="21"/>
                <w:szCs w:val="21"/>
              </w:rPr>
              <w:fldChar w:fldCharType="end"/>
            </w:r>
            <w:bookmarkEnd w:id="1"/>
          </w:p>
        </w:tc>
      </w:tr>
    </w:tbl>
    <w:tbl>
      <w:tblPr>
        <w:tblpPr w:leftFromText="180" w:rightFromText="180" w:vertAnchor="text" w:horzAnchor="margin" w:tblpX="2683" w:tblpY="578"/>
        <w:tblW w:w="6407"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108" w:type="dxa"/>
          <w:bottom w:w="0" w:type="dxa"/>
          <w:right w:w="221" w:type="dxa"/>
        </w:tblCellMar>
      </w:tblPr>
      <w:tblGrid>
        <w:gridCol w:w="6407"/>
      </w:tblGrid>
      <w:tr>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108" w:type="dxa"/>
            <w:bottom w:w="0" w:type="dxa"/>
            <w:right w:w="221" w:type="dxa"/>
          </w:tblCellMar>
        </w:tblPrEx>
        <w:tc>
          <w:tcPr>
            <w:tcW w:w="6407" w:type="dxa"/>
            <w:vAlign w:val="top"/>
          </w:tcPr>
          <w:p>
            <w:pPr>
              <w:pStyle w:val="33"/>
              <w:rPr>
                <w:rFonts w:ascii="宋体" w:hAnsi="宋体"/>
                <w:sz w:val="28"/>
                <w:szCs w:val="28"/>
              </w:rPr>
            </w:pPr>
            <w:bookmarkStart w:id="2" w:name="_Hlk26473981"/>
            <w:r>
              <w:rPr>
                <w:rFonts w:ascii="Times New Roman" w:hAnsi="Times New Roman" w:eastAsia="宋体" w:cs="Times New Roman"/>
                <w:b/>
                <w:w w:val="130"/>
                <w:sz w:val="96"/>
                <w:lang w:val="en-US" w:eastAsia="zh-CN" w:bidi="ar-SA"/>
              </w:rPr>
              <w:pict>
                <v:shape id="图片 3" o:spid="_x0000_s1032" type="#_x0000_t75" style="height:31.3pt;width:62.7pt;rotation:0f;" o:ole="f" fillcolor="#FFFFFF" filled="f" o:preferrelative="t" stroked="f" coordorigin="0,0" coordsize="21600,21600">
                  <v:fill on="f" color2="#FFFFFF" focus="0%"/>
                  <v:imagedata gain="65536f" blacklevel="0f" gamma="0" o:title="" r:id="rId15"/>
                  <o:lock v:ext="edit" position="f" selection="f" grouping="f" rotation="f" cropping="f" text="f" aspectratio="t"/>
                  <w10:wrap type="none"/>
                  <w10:anchorlock/>
                </v:shape>
              </w:pict>
            </w:r>
            <w:r>
              <w:rPr>
                <w:sz w:val="21"/>
                <w:szCs w:val="21"/>
              </w:rPr>
              <w:t xml:space="preserve"> </w:t>
            </w:r>
            <w:r>
              <w:fldChar w:fldCharType="begin">
                <w:ffData>
                  <w:name w:val="c1"/>
                  <w:enabled/>
                  <w:calcOnExit w:val="0"/>
                  <w:textInput>
                    <w:maxLength w:val="8"/>
                  </w:textInput>
                </w:ffData>
              </w:fldChar>
            </w:r>
            <w:bookmarkStart w:id="3" w:name="c1"/>
            <w:r>
              <w:instrText xml:space="preserve"> FORMTEXT </w:instrText>
            </w:r>
            <w:r>
              <w:fldChar w:fldCharType="separate"/>
            </w:r>
            <w:r>
              <w:rPr>
                <w:rFonts w:hint="eastAsia"/>
              </w:rPr>
              <w:t>32</w:t>
            </w:r>
            <w:r>
              <w:fldChar w:fldCharType="end"/>
            </w:r>
            <w:bookmarkEnd w:id="3"/>
          </w:p>
        </w:tc>
      </w:tr>
    </w:tbl>
    <w:p>
      <w:pPr>
        <w:pStyle w:val="34"/>
        <w:framePr w:w="9639" w:h="624" w:vSpace="181" w:hSpace="181" w:wrap="around" w:hAnchor="page" w:vAnchor="page" w:xAlign="center" w:y="2269" w:hRule="exact" w:anchorLock="1"/>
        <w:rPr>
          <w:rFonts w:ascii="黑体" w:hAnsi="黑体" w:eastAsia="黑体"/>
          <w:b w:val="0"/>
          <w:bCs w:val="0"/>
          <w:w w:val="100"/>
          <w:sz w:val="48"/>
          <w:szCs w:val="48"/>
        </w:rPr>
      </w:pPr>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江苏省</w:t>
      </w:r>
      <w:r>
        <w:rPr>
          <w:rFonts w:ascii="黑体" w:eastAsia="黑体"/>
          <w:b w:val="0"/>
          <w:w w:val="100"/>
          <w:sz w:val="48"/>
        </w:rPr>
        <w:fldChar w:fldCharType="end"/>
      </w:r>
      <w:bookmarkEnd w:id="4"/>
      <w:r>
        <w:rPr>
          <w:rFonts w:hint="eastAsia" w:ascii="黑体" w:hAnsi="黑体" w:eastAsia="黑体"/>
          <w:b w:val="0"/>
          <w:bCs w:val="0"/>
          <w:w w:val="100"/>
          <w:sz w:val="48"/>
          <w:szCs w:val="48"/>
        </w:rPr>
        <w:t>地方标准</w:t>
      </w:r>
    </w:p>
    <w:bookmarkEnd w:id="2"/>
    <w:p>
      <w:pPr>
        <w:pStyle w:val="169"/>
        <w:framePr w:w="9356" w:h="624" w:vSpace="181" w:hSpace="181" w:wrap="around" w:hAnchor="page" w:vAnchor="page" w:x="1419" w:y="3284" w:hRule="exact"/>
      </w:pPr>
      <w:r>
        <w:t>DB</w:t>
      </w:r>
      <w:r>
        <w:rPr>
          <w:sz w:val="15"/>
          <w:szCs w:val="15"/>
        </w:rPr>
        <w:t xml:space="preserve"> </w:t>
      </w:r>
      <w:r>
        <w:fldChar w:fldCharType="begin">
          <w:ffData>
            <w:name w:val="文字1"/>
            <w:enabled/>
            <w:calcOnExit w:val="0"/>
            <w:textInput>
              <w:default w:val="XX/T"/>
            </w:textInput>
          </w:ffData>
        </w:fldChar>
      </w:r>
      <w:bookmarkStart w:id="5" w:name="文字1"/>
      <w:r>
        <w:instrText xml:space="preserve"> FORMTEXT </w:instrText>
      </w:r>
      <w:r>
        <w:fldChar w:fldCharType="separate"/>
      </w:r>
      <w:r>
        <w:rPr>
          <w:rFonts w:hint="eastAsia"/>
        </w:rPr>
        <w:t>32</w:t>
      </w:r>
      <w:r>
        <w:t>/T</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rPr>
        <w:t>202X</w:t>
      </w:r>
      <w:r>
        <w:fldChar w:fldCharType="end"/>
      </w:r>
      <w:bookmarkEnd w:id="7"/>
    </w:p>
    <w:p>
      <w:pPr>
        <w:pStyle w:val="170"/>
        <w:framePr w:w="9356" w:h="624" w:vSpace="181" w:hSpace="181" w:wrap="around" w:hAnchor="page" w:vAnchor="page" w:x="1419" w:y="3284" w:hRule="exact"/>
        <w:rPr>
          <w:rFonts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pPr>
        <w:spacing w:line="240" w:lineRule="auto"/>
        <w:rPr>
          <w:rFonts w:ascii="黑体" w:hAnsi="黑体" w:eastAsia="黑体"/>
          <w:kern w:val="0"/>
          <w:sz w:val="10"/>
          <w:szCs w:val="10"/>
        </w:rPr>
      </w:pPr>
      <w:r>
        <w:rPr>
          <w:rFonts w:ascii="黑体" w:hAnsi="黑体" w:eastAsia="黑体" w:cs="Times New Roman"/>
          <w:kern w:val="0"/>
          <w:sz w:val="10"/>
          <w:szCs w:val="10"/>
          <w:lang w:val="en-US" w:eastAsia="zh-CN" w:bidi="ar-SA"/>
        </w:rPr>
        <w:pict>
          <v:line id="直接连接符 73" o:spid="_x0000_s1033" style="position:absolute;left:0;margin-left:70.9pt;margin-top:212.65pt;height:0.05pt;width:481.9pt;mso-position-horizontal-relative:page;mso-position-vertical-relative:page;rotation:0f;z-index:251658240;" o:ole="f" fillcolor="#FFFFFF" filled="f" o:preferrelative="t" stroked="t" coordsize="21600,21600" o:allowoverlap="f">
            <v:fill on="f" color2="#FFFFFF" focus="0%"/>
            <v:stroke color="#000000" color2="#FFFFFF" miterlimit="2"/>
            <v:imagedata gain="65536f" blacklevel="0f" gamma="0"/>
            <o:lock v:ext="edit" position="f" selection="f" grouping="f" rotation="f" cropping="f" text="f" aspectratio="f"/>
          </v:line>
        </w:pict>
      </w:r>
    </w:p>
    <w:p>
      <w:pPr>
        <w:pStyle w:val="34"/>
        <w:framePr w:w="9639" w:h="6976" w:wrap="around" w:hAnchor="page" w:vAnchor="page" w:xAlign="center" w:y="6408" w:hRule="exact" w:anchorLock="1"/>
        <w:jc w:val="center"/>
        <w:rPr>
          <w:rFonts w:ascii="黑体" w:hAnsi="黑体" w:eastAsia="黑体"/>
          <w:b w:val="0"/>
          <w:bCs w:val="0"/>
          <w:w w:val="100"/>
        </w:rPr>
      </w:pPr>
    </w:p>
    <w:p>
      <w:pPr>
        <w:pStyle w:val="171"/>
        <w:framePr w:w="9639" w:h="6974" w:wrap="around" w:hAnchor="page" w:vAnchor="page" w:x="1419" w:y="6408" w:hRule="exact" w:anchorLock="1"/>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t>微量物证司法鉴定程序规范</w:t>
      </w:r>
      <w:r>
        <w:fldChar w:fldCharType="end"/>
      </w:r>
      <w:bookmarkEnd w:id="9"/>
    </w:p>
    <w:p>
      <w:pPr>
        <w:framePr w:w="9639" w:h="6974" w:wrap="around" w:hAnchor="page" w:vAnchor="page" w:x="1419" w:y="6408" w:hRule="exact" w:anchorLock="1"/>
        <w:ind w:left="-1418"/>
      </w:pPr>
    </w:p>
    <w:p>
      <w:pPr>
        <w:pStyle w:val="104"/>
        <w:framePr w:w="9639" w:h="6974" w:wrap="around" w:hAnchor="page" w:vAnchor="page" w:x="1419" w:y="6408" w:hRule="exact"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eastAsia="黑体"/>
          <w:szCs w:val="28"/>
        </w:rPr>
        <w:t>Specification for judicial identification procedure of trace evidence</w:t>
      </w:r>
      <w:r>
        <w:rPr>
          <w:rFonts w:eastAsia="黑体"/>
          <w:szCs w:val="28"/>
        </w:rPr>
        <w:fldChar w:fldCharType="end"/>
      </w:r>
      <w:bookmarkEnd w:id="10"/>
    </w:p>
    <w:p>
      <w:pPr>
        <w:framePr w:w="9639" w:h="6974" w:wrap="around" w:hAnchor="page" w:vAnchor="page" w:x="1419" w:y="6408" w:hRule="exact" w:anchorLock="1"/>
        <w:spacing w:line="760" w:lineRule="exact"/>
        <w:ind w:left="-1418"/>
      </w:pPr>
    </w:p>
    <w:p>
      <w:pPr>
        <w:pStyle w:val="104"/>
        <w:framePr w:w="9639" w:h="6974" w:wrap="around" w:hAnchor="page" w:vAnchor="page" w:x="1419" w:y="6408" w:hRule="exact" w:anchorLock="1"/>
        <w:textAlignment w:val="bottom"/>
        <w:rPr>
          <w:rFonts w:eastAsia="黑体"/>
          <w:szCs w:val="28"/>
        </w:rPr>
      </w:pPr>
    </w:p>
    <w:p>
      <w:pPr>
        <w:pStyle w:val="104"/>
        <w:framePr w:w="9639" w:h="6974" w:wrap="around" w:hAnchor="page" w:vAnchor="page" w:x="1419" w:y="6408" w:hRule="exact"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pPr>
        <w:pStyle w:val="104"/>
        <w:framePr w:w="9639" w:h="6974" w:wrap="around" w:hAnchor="page" w:vAnchor="page" w:x="1419" w:y="6408" w:hRule="exact"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rFonts w:hint="eastAsia"/>
          <w:sz w:val="21"/>
          <w:szCs w:val="28"/>
        </w:rPr>
        <w:t>（本稿完成时间：2023年4月26日）</w:t>
      </w:r>
      <w:r>
        <w:rPr>
          <w:sz w:val="21"/>
          <w:szCs w:val="28"/>
        </w:rPr>
        <w:fldChar w:fldCharType="end"/>
      </w:r>
      <w:bookmarkEnd w:id="12"/>
    </w:p>
    <w:p>
      <w:pPr>
        <w:pStyle w:val="104"/>
        <w:framePr w:w="9639" w:h="6974" w:wrap="around" w:hAnchor="page" w:vAnchor="page" w:x="1419" w:y="6408" w:hRule="exact" w:anchorLock="1"/>
        <w:spacing w:beforeLines="300"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pPr>
        <w:pStyle w:val="167"/>
        <w:framePr w:w="3997" w:h="471" w:vSpace="181" w:wrap="around" w:hAnchor="page" w:vAnchor="page" w:x="1419" w:y="14176" w:hRule="exact" w:anchorLock="1"/>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hint="eastAsia" w:ascii="黑体"/>
        </w:rPr>
        <w:t>2023</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pPr>
        <w:pStyle w:val="168"/>
        <w:framePr w:w="3997" w:h="471" w:vSpace="181" w:wrap="around" w:hAnchor="page" w:vAnchor="page" w:xAlign="right" w:y="14176" w:hRule="exact" w:anchorLock="1"/>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hint="eastAsia" w:ascii="黑体"/>
        </w:rPr>
        <w:t>2023</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pPr>
        <w:pStyle w:val="128"/>
        <w:framePr w:w="7433" w:h="584" w:vSpace="181" w:hSpace="181" w:wrap="around" w:hAnchor="margin" w:xAlign="center" w:y="15027" w:hRule="exact" w:anchorLock="1"/>
        <w:rPr>
          <w:rFonts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rPr>
        <w:t>江苏省市场监督管理局</w:t>
      </w:r>
      <w:r>
        <w:rPr>
          <w:rFonts w:hAnsi="黑体"/>
          <w:w w:val="100"/>
          <w:sz w:val="28"/>
        </w:rPr>
        <w:fldChar w:fldCharType="end"/>
      </w:r>
      <w:bookmarkEnd w:id="20"/>
      <w:r>
        <w:rPr>
          <w:rFonts w:ascii="Times New Roman"/>
          <w:w w:val="100"/>
          <w:sz w:val="28"/>
        </w:rPr>
        <w:t>  </w:t>
      </w:r>
      <w:r>
        <w:rPr>
          <w:rStyle w:val="228"/>
          <w:rFonts w:hint="eastAsia" w:hAnsi="黑体"/>
          <w:position w:val="0"/>
        </w:rPr>
        <w:t>发</w:t>
      </w:r>
      <w:r>
        <w:rPr>
          <w:rStyle w:val="228"/>
          <w:rFonts w:hint="eastAsia" w:hAnsi="黑体"/>
          <w:spacing w:val="0"/>
          <w:position w:val="0"/>
        </w:rPr>
        <w:t>布</w:t>
      </w:r>
    </w:p>
    <w:p>
      <w:pPr>
        <w:rPr>
          <w:rFonts w:ascii="宋体" w:hAnsi="宋体"/>
          <w:sz w:val="28"/>
          <w:szCs w:val="28"/>
        </w:rPr>
        <w:sectPr>
          <w:headerReference r:id="rId6" w:type="first"/>
          <w:footerReference r:id="rId9" w:type="first"/>
          <w:headerReference r:id="rId4" w:type="default"/>
          <w:footerReference r:id="rId7" w:type="default"/>
          <w:headerReference r:id="rId5" w:type="even"/>
          <w:footerReference r:id="rId8" w:type="even"/>
          <w:type w:val="continuous"/>
          <w:pgSz w:w="11906" w:h="16838"/>
          <w:pgMar w:top="338" w:right="1134" w:bottom="1021" w:left="1134" w:header="0" w:footer="0" w:gutter="284"/>
          <w:cols w:space="720" w:num="1"/>
          <w:titlePg/>
          <w:docGrid w:linePitch="312" w:charSpace="0"/>
        </w:sectPr>
      </w:pPr>
      <w:r>
        <w:rPr>
          <w:rFonts w:hint="eastAsia" w:ascii="宋体" w:hAnsi="宋体" w:eastAsia="宋体" w:cs="Times New Roman"/>
          <w:kern w:val="2"/>
          <w:sz w:val="28"/>
          <w:szCs w:val="28"/>
          <w:lang w:val="en-US" w:eastAsia="zh-CN" w:bidi="ar-SA"/>
        </w:rPr>
        <w:pict>
          <v:line id="直接连接符 5" o:spid="_x0000_s1034" style="position:absolute;left:0;margin-left:70.85pt;margin-top:728.6pt;height:0.05pt;width:481.9pt;mso-position-horizontal-relative:page;mso-position-vertical-relative:page;rotation:0f;z-index:251659264;" o:ole="f" fillcolor="#FFFFFF" filled="f" o:preferrelative="t" stroked="t" coordsize="21600,21600">
            <v:fill on="f" color2="#FFFFFF" focus="0%"/>
            <v:stroke color="#000000" color2="#FFFFFF" miterlimit="2"/>
            <v:imagedata gain="65536f" blacklevel="0f" gamma="0"/>
            <o:lock v:ext="edit" position="f" selection="f" grouping="f" rotation="f" cropping="f" text="f" aspectratio="f"/>
            <w10:anchorlock/>
          </v:line>
        </w:pict>
      </w:r>
    </w:p>
    <w:p>
      <w:pPr>
        <w:pStyle w:val="71"/>
        <w:shd w:val="clear" w:color="FFFFFF" w:fill="FFFFFF"/>
        <w:spacing w:after="468"/>
        <w:rPr>
          <w:rFonts w:hint="eastAsia"/>
          <w:spacing w:val="320"/>
          <w:lang w:val="en-US" w:eastAsia="zh-CN"/>
        </w:rPr>
      </w:pPr>
      <w:bookmarkStart w:id="21" w:name="_Toc26666"/>
      <w:bookmarkStart w:id="22" w:name="BookMark2"/>
      <w:r>
        <w:rPr>
          <w:rFonts w:hint="eastAsia"/>
          <w:spacing w:val="320"/>
          <w:lang w:val="en-US" w:eastAsia="zh-CN"/>
        </w:rPr>
        <w:t>目次</w:t>
      </w:r>
    </w:p>
    <w:p>
      <w:pPr>
        <w:pStyle w:val="19"/>
        <w:tabs>
          <w:tab w:val="right" w:leader="dot" w:pos="9354"/>
        </w:tabs>
      </w:pPr>
      <w:r>
        <w:fldChar w:fldCharType="begin"/>
      </w:r>
      <w:r>
        <w:instrText xml:space="preserve">TOC \o "1-1" \h \u </w:instrText>
      </w:r>
      <w:r>
        <w:fldChar w:fldCharType="separate"/>
      </w:r>
      <w:r>
        <w:fldChar w:fldCharType="begin"/>
      </w:r>
      <w:r>
        <w:instrText xml:space="preserve"> HYPERLINK \l _Toc21397 </w:instrText>
      </w:r>
      <w:r>
        <w:fldChar w:fldCharType="separate"/>
      </w:r>
      <w:r>
        <w:rPr>
          <w:spacing w:val="320"/>
        </w:rPr>
        <w:t>前</w:t>
      </w:r>
      <w:r>
        <w:t>言</w:t>
      </w:r>
      <w:r>
        <w:tab/>
      </w:r>
      <w:r>
        <w:fldChar w:fldCharType="begin"/>
      </w:r>
      <w:r>
        <w:instrText xml:space="preserve"> PAGEREF _Toc21397 \h </w:instrText>
      </w:r>
      <w:r>
        <w:fldChar w:fldCharType="separate"/>
      </w:r>
      <w:r>
        <w:t>I</w:t>
      </w:r>
      <w:r>
        <w:fldChar w:fldCharType="end"/>
      </w:r>
      <w:r>
        <w:fldChar w:fldCharType="end"/>
      </w:r>
    </w:p>
    <w:p>
      <w:pPr>
        <w:pStyle w:val="19"/>
        <w:tabs>
          <w:tab w:val="right" w:leader="dot" w:pos="9354"/>
        </w:tabs>
      </w:pPr>
      <w:r>
        <w:fldChar w:fldCharType="begin"/>
      </w:r>
      <w:r>
        <w:instrText xml:space="preserve"> HYPERLINK \l _Toc4981 </w:instrText>
      </w:r>
      <w:r>
        <w:fldChar w:fldCharType="separate"/>
      </w:r>
      <w:r>
        <w:rPr>
          <w:spacing w:val="320"/>
        </w:rPr>
        <w:t>引</w:t>
      </w:r>
      <w:r>
        <w:t>言</w:t>
      </w:r>
      <w:r>
        <w:tab/>
      </w:r>
      <w:r>
        <w:fldChar w:fldCharType="begin"/>
      </w:r>
      <w:r>
        <w:instrText xml:space="preserve"> PAGEREF _Toc4981 \h </w:instrText>
      </w:r>
      <w:r>
        <w:fldChar w:fldCharType="separate"/>
      </w:r>
      <w:r>
        <w:t>III</w:t>
      </w:r>
      <w:r>
        <w:fldChar w:fldCharType="end"/>
      </w:r>
      <w:r>
        <w:fldChar w:fldCharType="end"/>
      </w:r>
    </w:p>
    <w:p>
      <w:pPr>
        <w:pStyle w:val="19"/>
        <w:tabs>
          <w:tab w:val="right" w:leader="dot" w:pos="9354"/>
        </w:tabs>
      </w:pPr>
      <w:r>
        <w:fldChar w:fldCharType="begin"/>
      </w:r>
      <w:r>
        <w:instrText xml:space="preserve"> HYPERLINK \l _Toc26570 </w:instrText>
      </w:r>
      <w:r>
        <w:fldChar w:fldCharType="separate"/>
      </w:r>
      <w:r>
        <w:rPr>
          <w:rFonts w:hint="eastAsia" w:ascii="黑体" w:eastAsia="黑体"/>
          <w:i w:val="0"/>
        </w:rPr>
        <w:t xml:space="preserve">1 </w:t>
      </w:r>
      <w:r>
        <w:rPr>
          <w:rFonts w:hint="eastAsia"/>
        </w:rPr>
        <w:t>范围</w:t>
      </w:r>
      <w:r>
        <w:tab/>
      </w:r>
      <w:r>
        <w:fldChar w:fldCharType="begin"/>
      </w:r>
      <w:r>
        <w:instrText xml:space="preserve"> PAGEREF _Toc26570 \h </w:instrText>
      </w:r>
      <w:r>
        <w:fldChar w:fldCharType="separate"/>
      </w:r>
      <w:r>
        <w:t>1</w:t>
      </w:r>
      <w:r>
        <w:fldChar w:fldCharType="end"/>
      </w:r>
      <w:r>
        <w:fldChar w:fldCharType="end"/>
      </w:r>
    </w:p>
    <w:p>
      <w:pPr>
        <w:pStyle w:val="19"/>
        <w:tabs>
          <w:tab w:val="right" w:leader="dot" w:pos="9354"/>
        </w:tabs>
      </w:pPr>
      <w:r>
        <w:fldChar w:fldCharType="begin"/>
      </w:r>
      <w:r>
        <w:instrText xml:space="preserve"> HYPERLINK \l _Toc25122 </w:instrText>
      </w:r>
      <w:r>
        <w:fldChar w:fldCharType="separate"/>
      </w:r>
      <w:r>
        <w:rPr>
          <w:rFonts w:hint="eastAsia" w:ascii="黑体" w:eastAsia="黑体"/>
          <w:i w:val="0"/>
        </w:rPr>
        <w:t xml:space="preserve">2 </w:t>
      </w:r>
      <w:r>
        <w:rPr>
          <w:rFonts w:hint="eastAsia"/>
        </w:rPr>
        <w:t>规范性引用文件</w:t>
      </w:r>
      <w:r>
        <w:tab/>
      </w:r>
      <w:r>
        <w:fldChar w:fldCharType="begin"/>
      </w:r>
      <w:r>
        <w:instrText xml:space="preserve"> PAGEREF _Toc25122 \h </w:instrText>
      </w:r>
      <w:r>
        <w:fldChar w:fldCharType="separate"/>
      </w:r>
      <w:r>
        <w:t>1</w:t>
      </w:r>
      <w:r>
        <w:fldChar w:fldCharType="end"/>
      </w:r>
      <w:r>
        <w:fldChar w:fldCharType="end"/>
      </w:r>
    </w:p>
    <w:p>
      <w:pPr>
        <w:pStyle w:val="19"/>
        <w:tabs>
          <w:tab w:val="right" w:leader="dot" w:pos="9354"/>
        </w:tabs>
      </w:pPr>
      <w:r>
        <w:fldChar w:fldCharType="begin"/>
      </w:r>
      <w:r>
        <w:instrText xml:space="preserve"> HYPERLINK \l _Toc13188 </w:instrText>
      </w:r>
      <w:r>
        <w:fldChar w:fldCharType="separate"/>
      </w:r>
      <w:r>
        <w:rPr>
          <w:rFonts w:hint="eastAsia" w:ascii="黑体" w:eastAsia="黑体"/>
          <w:i w:val="0"/>
        </w:rPr>
        <w:t xml:space="preserve">3 </w:t>
      </w:r>
      <w:r>
        <w:rPr>
          <w:rFonts w:hint="eastAsia"/>
          <w:szCs w:val="21"/>
        </w:rPr>
        <w:t>术语和定义</w:t>
      </w:r>
      <w:r>
        <w:tab/>
      </w:r>
      <w:r>
        <w:fldChar w:fldCharType="begin"/>
      </w:r>
      <w:r>
        <w:instrText xml:space="preserve"> PAGEREF _Toc13188 \h </w:instrText>
      </w:r>
      <w:r>
        <w:fldChar w:fldCharType="separate"/>
      </w:r>
      <w:r>
        <w:t>1</w:t>
      </w:r>
      <w:r>
        <w:fldChar w:fldCharType="end"/>
      </w:r>
      <w:r>
        <w:fldChar w:fldCharType="end"/>
      </w:r>
    </w:p>
    <w:p>
      <w:pPr>
        <w:pStyle w:val="19"/>
        <w:tabs>
          <w:tab w:val="right" w:leader="dot" w:pos="9354"/>
        </w:tabs>
      </w:pPr>
      <w:r>
        <w:fldChar w:fldCharType="begin"/>
      </w:r>
      <w:r>
        <w:instrText xml:space="preserve"> HYPERLINK \l _Toc19147 </w:instrText>
      </w:r>
      <w:r>
        <w:fldChar w:fldCharType="separate"/>
      </w:r>
      <w:r>
        <w:rPr>
          <w:rFonts w:hint="eastAsia" w:ascii="黑体" w:eastAsia="黑体"/>
          <w:i w:val="0"/>
        </w:rPr>
        <w:t xml:space="preserve">4 </w:t>
      </w:r>
      <w:r>
        <w:rPr>
          <w:rFonts w:hint="eastAsia"/>
        </w:rPr>
        <w:t>基本规定</w:t>
      </w:r>
      <w:r>
        <w:tab/>
      </w:r>
      <w:r>
        <w:fldChar w:fldCharType="begin"/>
      </w:r>
      <w:r>
        <w:instrText xml:space="preserve"> PAGEREF _Toc19147 \h </w:instrText>
      </w:r>
      <w:r>
        <w:fldChar w:fldCharType="separate"/>
      </w:r>
      <w:r>
        <w:t>2</w:t>
      </w:r>
      <w:r>
        <w:fldChar w:fldCharType="end"/>
      </w:r>
      <w:r>
        <w:fldChar w:fldCharType="end"/>
      </w:r>
    </w:p>
    <w:p>
      <w:pPr>
        <w:pStyle w:val="19"/>
        <w:tabs>
          <w:tab w:val="right" w:leader="dot" w:pos="9354"/>
        </w:tabs>
      </w:pPr>
      <w:r>
        <w:fldChar w:fldCharType="begin"/>
      </w:r>
      <w:r>
        <w:instrText xml:space="preserve"> HYPERLINK \l _Toc15516 </w:instrText>
      </w:r>
      <w:r>
        <w:fldChar w:fldCharType="separate"/>
      </w:r>
      <w:r>
        <w:rPr>
          <w:rFonts w:hint="eastAsia" w:ascii="黑体" w:eastAsia="黑体"/>
          <w:i w:val="0"/>
        </w:rPr>
        <w:t xml:space="preserve">5 </w:t>
      </w:r>
      <w:r>
        <w:rPr>
          <w:rFonts w:hint="eastAsia"/>
        </w:rPr>
        <w:t>鉴定工作流程</w:t>
      </w:r>
      <w:r>
        <w:tab/>
      </w:r>
      <w:r>
        <w:fldChar w:fldCharType="begin"/>
      </w:r>
      <w:r>
        <w:instrText xml:space="preserve"> PAGEREF _Toc15516 \h </w:instrText>
      </w:r>
      <w:r>
        <w:fldChar w:fldCharType="separate"/>
      </w:r>
      <w:r>
        <w:t>3</w:t>
      </w:r>
      <w:r>
        <w:fldChar w:fldCharType="end"/>
      </w:r>
      <w:r>
        <w:fldChar w:fldCharType="end"/>
      </w:r>
    </w:p>
    <w:p>
      <w:pPr>
        <w:pStyle w:val="19"/>
        <w:tabs>
          <w:tab w:val="right" w:leader="dot" w:pos="9354"/>
        </w:tabs>
      </w:pPr>
      <w:r>
        <w:fldChar w:fldCharType="begin"/>
      </w:r>
      <w:r>
        <w:instrText xml:space="preserve"> HYPERLINK \l _Toc29285 </w:instrText>
      </w:r>
      <w:r>
        <w:fldChar w:fldCharType="separate"/>
      </w:r>
      <w:r>
        <w:rPr>
          <w:rFonts w:hint="eastAsia" w:ascii="黑体" w:eastAsia="黑体"/>
          <w:i w:val="0"/>
        </w:rPr>
        <w:t xml:space="preserve">6 </w:t>
      </w:r>
      <w:r>
        <w:rPr>
          <w:rFonts w:hint="eastAsia"/>
        </w:rPr>
        <w:t>委托接收与受理</w:t>
      </w:r>
      <w:r>
        <w:tab/>
      </w:r>
      <w:r>
        <w:fldChar w:fldCharType="begin"/>
      </w:r>
      <w:r>
        <w:instrText xml:space="preserve"> PAGEREF _Toc29285 \h </w:instrText>
      </w:r>
      <w:r>
        <w:fldChar w:fldCharType="separate"/>
      </w:r>
      <w:r>
        <w:t>3</w:t>
      </w:r>
      <w:r>
        <w:fldChar w:fldCharType="end"/>
      </w:r>
      <w:r>
        <w:fldChar w:fldCharType="end"/>
      </w:r>
    </w:p>
    <w:p>
      <w:pPr>
        <w:pStyle w:val="19"/>
        <w:tabs>
          <w:tab w:val="right" w:leader="dot" w:pos="9354"/>
        </w:tabs>
      </w:pPr>
      <w:r>
        <w:fldChar w:fldCharType="begin"/>
      </w:r>
      <w:r>
        <w:instrText xml:space="preserve"> HYPERLINK \l _Toc22728 </w:instrText>
      </w:r>
      <w:r>
        <w:fldChar w:fldCharType="separate"/>
      </w:r>
      <w:r>
        <w:rPr>
          <w:rFonts w:hint="eastAsia" w:ascii="黑体" w:eastAsia="黑体"/>
          <w:i w:val="0"/>
        </w:rPr>
        <w:t xml:space="preserve">7 </w:t>
      </w:r>
      <w:r>
        <w:rPr>
          <w:rFonts w:hint="eastAsia"/>
        </w:rPr>
        <w:t>鉴定方案</w:t>
      </w:r>
      <w:r>
        <w:tab/>
      </w:r>
      <w:r>
        <w:fldChar w:fldCharType="begin"/>
      </w:r>
      <w:r>
        <w:instrText xml:space="preserve"> PAGEREF _Toc22728 \h </w:instrText>
      </w:r>
      <w:r>
        <w:fldChar w:fldCharType="separate"/>
      </w:r>
      <w:r>
        <w:t>5</w:t>
      </w:r>
      <w:r>
        <w:fldChar w:fldCharType="end"/>
      </w:r>
      <w:r>
        <w:fldChar w:fldCharType="end"/>
      </w:r>
    </w:p>
    <w:p>
      <w:pPr>
        <w:pStyle w:val="19"/>
        <w:tabs>
          <w:tab w:val="right" w:leader="dot" w:pos="9354"/>
        </w:tabs>
      </w:pPr>
      <w:r>
        <w:fldChar w:fldCharType="begin"/>
      </w:r>
      <w:r>
        <w:instrText xml:space="preserve"> HYPERLINK \l _Toc21015 </w:instrText>
      </w:r>
      <w:r>
        <w:fldChar w:fldCharType="separate"/>
      </w:r>
      <w:r>
        <w:rPr>
          <w:rFonts w:hint="eastAsia" w:ascii="黑体" w:eastAsia="黑体"/>
          <w:i w:val="0"/>
        </w:rPr>
        <w:t xml:space="preserve">8 </w:t>
      </w:r>
      <w:r>
        <w:rPr>
          <w:rFonts w:hint="eastAsia"/>
        </w:rPr>
        <w:t>签订微量物证司法鉴定委托书</w:t>
      </w:r>
      <w:r>
        <w:tab/>
      </w:r>
      <w:r>
        <w:fldChar w:fldCharType="begin"/>
      </w:r>
      <w:r>
        <w:instrText xml:space="preserve"> PAGEREF _Toc21015 \h </w:instrText>
      </w:r>
      <w:r>
        <w:fldChar w:fldCharType="separate"/>
      </w:r>
      <w:r>
        <w:t>5</w:t>
      </w:r>
      <w:r>
        <w:fldChar w:fldCharType="end"/>
      </w:r>
      <w:r>
        <w:fldChar w:fldCharType="end"/>
      </w:r>
    </w:p>
    <w:p>
      <w:pPr>
        <w:pStyle w:val="19"/>
        <w:tabs>
          <w:tab w:val="right" w:leader="dot" w:pos="9354"/>
        </w:tabs>
      </w:pPr>
      <w:r>
        <w:fldChar w:fldCharType="begin"/>
      </w:r>
      <w:r>
        <w:instrText xml:space="preserve"> HYPERLINK \l _Toc21939 </w:instrText>
      </w:r>
      <w:r>
        <w:fldChar w:fldCharType="separate"/>
      </w:r>
      <w:r>
        <w:rPr>
          <w:rFonts w:hint="eastAsia" w:ascii="黑体" w:eastAsia="黑体"/>
          <w:i w:val="0"/>
        </w:rPr>
        <w:t xml:space="preserve">9 </w:t>
      </w:r>
      <w:r>
        <w:rPr>
          <w:rFonts w:hint="eastAsia"/>
        </w:rPr>
        <w:t>检验检测原则</w:t>
      </w:r>
      <w:r>
        <w:tab/>
      </w:r>
      <w:r>
        <w:fldChar w:fldCharType="begin"/>
      </w:r>
      <w:r>
        <w:instrText xml:space="preserve"> PAGEREF _Toc21939 \h </w:instrText>
      </w:r>
      <w:r>
        <w:fldChar w:fldCharType="separate"/>
      </w:r>
      <w:r>
        <w:t>5</w:t>
      </w:r>
      <w:r>
        <w:fldChar w:fldCharType="end"/>
      </w:r>
      <w:r>
        <w:fldChar w:fldCharType="end"/>
      </w:r>
    </w:p>
    <w:p>
      <w:pPr>
        <w:pStyle w:val="19"/>
        <w:tabs>
          <w:tab w:val="right" w:leader="dot" w:pos="9354"/>
        </w:tabs>
      </w:pPr>
      <w:r>
        <w:fldChar w:fldCharType="begin"/>
      </w:r>
      <w:r>
        <w:instrText xml:space="preserve"> HYPERLINK \l _Toc23931 </w:instrText>
      </w:r>
      <w:r>
        <w:fldChar w:fldCharType="separate"/>
      </w:r>
      <w:r>
        <w:rPr>
          <w:rFonts w:hint="eastAsia" w:ascii="黑体" w:eastAsia="黑体"/>
          <w:i w:val="0"/>
        </w:rPr>
        <w:t xml:space="preserve">10 </w:t>
      </w:r>
      <w:r>
        <w:rPr>
          <w:rFonts w:hint="eastAsia"/>
        </w:rPr>
        <w:t>现场勘查</w:t>
      </w:r>
      <w:r>
        <w:tab/>
      </w:r>
      <w:r>
        <w:fldChar w:fldCharType="begin"/>
      </w:r>
      <w:r>
        <w:instrText xml:space="preserve"> PAGEREF _Toc23931 \h </w:instrText>
      </w:r>
      <w:r>
        <w:fldChar w:fldCharType="separate"/>
      </w:r>
      <w:r>
        <w:t>6</w:t>
      </w:r>
      <w:r>
        <w:fldChar w:fldCharType="end"/>
      </w:r>
      <w:r>
        <w:fldChar w:fldCharType="end"/>
      </w:r>
    </w:p>
    <w:p>
      <w:pPr>
        <w:pStyle w:val="19"/>
        <w:tabs>
          <w:tab w:val="right" w:leader="dot" w:pos="9354"/>
        </w:tabs>
      </w:pPr>
      <w:r>
        <w:fldChar w:fldCharType="begin"/>
      </w:r>
      <w:r>
        <w:instrText xml:space="preserve"> HYPERLINK \l _Toc10940 </w:instrText>
      </w:r>
      <w:r>
        <w:fldChar w:fldCharType="separate"/>
      </w:r>
      <w:r>
        <w:rPr>
          <w:rFonts w:hint="eastAsia" w:ascii="黑体" w:eastAsia="黑体"/>
          <w:i w:val="0"/>
        </w:rPr>
        <w:t xml:space="preserve">11 </w:t>
      </w:r>
      <w:r>
        <w:rPr>
          <w:rFonts w:hint="eastAsia"/>
        </w:rPr>
        <w:t>送样</w:t>
      </w:r>
      <w:r>
        <w:t>/</w:t>
      </w:r>
      <w:r>
        <w:rPr>
          <w:rFonts w:hint="eastAsia"/>
        </w:rPr>
        <w:t>取样</w:t>
      </w:r>
      <w:r>
        <w:tab/>
      </w:r>
      <w:r>
        <w:fldChar w:fldCharType="begin"/>
      </w:r>
      <w:r>
        <w:instrText xml:space="preserve"> PAGEREF _Toc10940 \h </w:instrText>
      </w:r>
      <w:r>
        <w:fldChar w:fldCharType="separate"/>
      </w:r>
      <w:r>
        <w:t>6</w:t>
      </w:r>
      <w:r>
        <w:fldChar w:fldCharType="end"/>
      </w:r>
      <w:r>
        <w:fldChar w:fldCharType="end"/>
      </w:r>
    </w:p>
    <w:p>
      <w:pPr>
        <w:pStyle w:val="19"/>
        <w:tabs>
          <w:tab w:val="right" w:leader="dot" w:pos="9354"/>
        </w:tabs>
      </w:pPr>
      <w:r>
        <w:fldChar w:fldCharType="begin"/>
      </w:r>
      <w:r>
        <w:instrText xml:space="preserve"> HYPERLINK \l _Toc32729 </w:instrText>
      </w:r>
      <w:r>
        <w:fldChar w:fldCharType="separate"/>
      </w:r>
      <w:r>
        <w:rPr>
          <w:rFonts w:hint="eastAsia" w:ascii="黑体" w:eastAsia="黑体"/>
          <w:i w:val="0"/>
        </w:rPr>
        <w:t xml:space="preserve">12 </w:t>
      </w:r>
      <w:r>
        <w:rPr>
          <w:rFonts w:hint="eastAsia"/>
        </w:rPr>
        <w:t>实验室</w:t>
      </w:r>
      <w:r>
        <w:rPr>
          <w:rFonts w:hint="eastAsia"/>
          <w:shd w:val="clear" w:color="auto" w:fill="FFFFFF"/>
        </w:rPr>
        <w:t>检验</w:t>
      </w:r>
      <w:r>
        <w:rPr>
          <w:rFonts w:hint="eastAsia"/>
        </w:rPr>
        <w:t>检测</w:t>
      </w:r>
      <w:r>
        <w:tab/>
      </w:r>
      <w:r>
        <w:fldChar w:fldCharType="begin"/>
      </w:r>
      <w:r>
        <w:instrText xml:space="preserve"> PAGEREF _Toc32729 \h </w:instrText>
      </w:r>
      <w:r>
        <w:fldChar w:fldCharType="separate"/>
      </w:r>
      <w:r>
        <w:t>7</w:t>
      </w:r>
      <w:r>
        <w:fldChar w:fldCharType="end"/>
      </w:r>
      <w:r>
        <w:fldChar w:fldCharType="end"/>
      </w:r>
    </w:p>
    <w:p>
      <w:pPr>
        <w:pStyle w:val="19"/>
        <w:tabs>
          <w:tab w:val="right" w:leader="dot" w:pos="9354"/>
        </w:tabs>
      </w:pPr>
      <w:r>
        <w:fldChar w:fldCharType="begin"/>
      </w:r>
      <w:r>
        <w:instrText xml:space="preserve"> HYPERLINK \l _Toc18901 </w:instrText>
      </w:r>
      <w:r>
        <w:fldChar w:fldCharType="separate"/>
      </w:r>
      <w:r>
        <w:rPr>
          <w:rFonts w:hint="eastAsia" w:ascii="黑体" w:eastAsia="黑体"/>
          <w:i w:val="0"/>
        </w:rPr>
        <w:t xml:space="preserve">13 </w:t>
      </w:r>
      <w:r>
        <w:rPr>
          <w:rFonts w:hint="eastAsia"/>
        </w:rPr>
        <w:t>终止鉴定</w:t>
      </w:r>
      <w:r>
        <w:tab/>
      </w:r>
      <w:r>
        <w:fldChar w:fldCharType="begin"/>
      </w:r>
      <w:r>
        <w:instrText xml:space="preserve"> PAGEREF _Toc18901 \h </w:instrText>
      </w:r>
      <w:r>
        <w:fldChar w:fldCharType="separate"/>
      </w:r>
      <w:r>
        <w:t>8</w:t>
      </w:r>
      <w:r>
        <w:fldChar w:fldCharType="end"/>
      </w:r>
      <w:r>
        <w:fldChar w:fldCharType="end"/>
      </w:r>
    </w:p>
    <w:p>
      <w:pPr>
        <w:pStyle w:val="19"/>
        <w:tabs>
          <w:tab w:val="right" w:leader="dot" w:pos="9354"/>
        </w:tabs>
      </w:pPr>
      <w:r>
        <w:fldChar w:fldCharType="begin"/>
      </w:r>
      <w:r>
        <w:instrText xml:space="preserve"> HYPERLINK \l _Toc20506 </w:instrText>
      </w:r>
      <w:r>
        <w:fldChar w:fldCharType="separate"/>
      </w:r>
      <w:r>
        <w:rPr>
          <w:rFonts w:hint="eastAsia" w:ascii="黑体" w:eastAsia="黑体"/>
          <w:i w:val="0"/>
        </w:rPr>
        <w:t xml:space="preserve">14 </w:t>
      </w:r>
      <w:r>
        <w:rPr>
          <w:rFonts w:hint="eastAsia"/>
        </w:rPr>
        <w:t>分析说明</w:t>
      </w:r>
      <w:r>
        <w:tab/>
      </w:r>
      <w:r>
        <w:fldChar w:fldCharType="begin"/>
      </w:r>
      <w:r>
        <w:instrText xml:space="preserve"> PAGEREF _Toc20506 \h </w:instrText>
      </w:r>
      <w:r>
        <w:fldChar w:fldCharType="separate"/>
      </w:r>
      <w:r>
        <w:t>8</w:t>
      </w:r>
      <w:r>
        <w:fldChar w:fldCharType="end"/>
      </w:r>
      <w:r>
        <w:fldChar w:fldCharType="end"/>
      </w:r>
    </w:p>
    <w:p>
      <w:pPr>
        <w:pStyle w:val="19"/>
        <w:tabs>
          <w:tab w:val="right" w:leader="dot" w:pos="9354"/>
        </w:tabs>
      </w:pPr>
      <w:r>
        <w:fldChar w:fldCharType="begin"/>
      </w:r>
      <w:r>
        <w:instrText xml:space="preserve"> HYPERLINK \l _Toc4112 </w:instrText>
      </w:r>
      <w:r>
        <w:fldChar w:fldCharType="separate"/>
      </w:r>
      <w:r>
        <w:rPr>
          <w:rFonts w:hint="eastAsia" w:ascii="黑体" w:eastAsia="黑体"/>
          <w:i w:val="0"/>
        </w:rPr>
        <w:t xml:space="preserve">15 </w:t>
      </w:r>
      <w:r>
        <w:rPr>
          <w:rFonts w:hint="eastAsia"/>
        </w:rPr>
        <w:t>司法鉴定意见</w:t>
      </w:r>
      <w:r>
        <w:tab/>
      </w:r>
      <w:r>
        <w:fldChar w:fldCharType="begin"/>
      </w:r>
      <w:r>
        <w:instrText xml:space="preserve"> PAGEREF _Toc4112 \h </w:instrText>
      </w:r>
      <w:r>
        <w:fldChar w:fldCharType="separate"/>
      </w:r>
      <w:r>
        <w:t>8</w:t>
      </w:r>
      <w:r>
        <w:fldChar w:fldCharType="end"/>
      </w:r>
      <w:r>
        <w:fldChar w:fldCharType="end"/>
      </w:r>
    </w:p>
    <w:p>
      <w:pPr>
        <w:pStyle w:val="19"/>
        <w:tabs>
          <w:tab w:val="right" w:leader="dot" w:pos="9354"/>
        </w:tabs>
      </w:pPr>
      <w:r>
        <w:fldChar w:fldCharType="begin"/>
      </w:r>
      <w:r>
        <w:instrText xml:space="preserve"> HYPERLINK \l _Toc6542 </w:instrText>
      </w:r>
      <w:r>
        <w:fldChar w:fldCharType="separate"/>
      </w:r>
      <w:r>
        <w:rPr>
          <w:rFonts w:hint="eastAsia" w:ascii="黑体" w:eastAsia="黑体"/>
          <w:i w:val="0"/>
        </w:rPr>
        <w:t xml:space="preserve">16 </w:t>
      </w:r>
      <w:r>
        <w:rPr>
          <w:rFonts w:hint="eastAsia"/>
        </w:rPr>
        <w:t>司法鉴定意见书</w:t>
      </w:r>
      <w:r>
        <w:tab/>
      </w:r>
      <w:r>
        <w:fldChar w:fldCharType="begin"/>
      </w:r>
      <w:r>
        <w:instrText xml:space="preserve"> PAGEREF _Toc6542 \h </w:instrText>
      </w:r>
      <w:r>
        <w:fldChar w:fldCharType="separate"/>
      </w:r>
      <w:r>
        <w:t>8</w:t>
      </w:r>
      <w:r>
        <w:fldChar w:fldCharType="end"/>
      </w:r>
      <w:r>
        <w:fldChar w:fldCharType="end"/>
      </w:r>
    </w:p>
    <w:p>
      <w:pPr>
        <w:pStyle w:val="19"/>
        <w:tabs>
          <w:tab w:val="right" w:leader="dot" w:pos="9354"/>
        </w:tabs>
      </w:pPr>
      <w:r>
        <w:fldChar w:fldCharType="begin"/>
      </w:r>
      <w:r>
        <w:instrText xml:space="preserve"> HYPERLINK \l _Toc1985 </w:instrText>
      </w:r>
      <w:r>
        <w:fldChar w:fldCharType="separate"/>
      </w:r>
      <w:r>
        <w:rPr>
          <w:rFonts w:hint="eastAsia" w:ascii="黑体" w:eastAsia="黑体"/>
          <w:i w:val="0"/>
        </w:rPr>
        <w:t xml:space="preserve">17 </w:t>
      </w:r>
      <w:r>
        <w:rPr>
          <w:rFonts w:hint="eastAsia"/>
        </w:rPr>
        <w:t>补充鉴定</w:t>
      </w:r>
      <w:r>
        <w:tab/>
      </w:r>
      <w:r>
        <w:fldChar w:fldCharType="begin"/>
      </w:r>
      <w:r>
        <w:instrText xml:space="preserve"> PAGEREF _Toc1985 \h </w:instrText>
      </w:r>
      <w:r>
        <w:fldChar w:fldCharType="separate"/>
      </w:r>
      <w:r>
        <w:t>10</w:t>
      </w:r>
      <w:r>
        <w:fldChar w:fldCharType="end"/>
      </w:r>
      <w:r>
        <w:fldChar w:fldCharType="end"/>
      </w:r>
    </w:p>
    <w:p>
      <w:pPr>
        <w:pStyle w:val="19"/>
        <w:tabs>
          <w:tab w:val="right" w:leader="dot" w:pos="9354"/>
        </w:tabs>
      </w:pPr>
      <w:r>
        <w:fldChar w:fldCharType="begin"/>
      </w:r>
      <w:r>
        <w:instrText xml:space="preserve"> HYPERLINK \l _Toc15889 </w:instrText>
      </w:r>
      <w:r>
        <w:fldChar w:fldCharType="separate"/>
      </w:r>
      <w:r>
        <w:rPr>
          <w:rFonts w:hint="eastAsia" w:ascii="黑体" w:eastAsia="黑体"/>
          <w:i w:val="0"/>
        </w:rPr>
        <w:t xml:space="preserve">18 </w:t>
      </w:r>
      <w:r>
        <w:rPr>
          <w:rFonts w:hint="eastAsia"/>
        </w:rPr>
        <w:t>出庭作证</w:t>
      </w:r>
      <w:r>
        <w:tab/>
      </w:r>
      <w:r>
        <w:fldChar w:fldCharType="begin"/>
      </w:r>
      <w:r>
        <w:instrText xml:space="preserve"> PAGEREF _Toc15889 \h </w:instrText>
      </w:r>
      <w:r>
        <w:fldChar w:fldCharType="separate"/>
      </w:r>
      <w:r>
        <w:t>10</w:t>
      </w:r>
      <w:r>
        <w:fldChar w:fldCharType="end"/>
      </w:r>
      <w:r>
        <w:fldChar w:fldCharType="end"/>
      </w:r>
    </w:p>
    <w:p>
      <w:pPr>
        <w:pStyle w:val="19"/>
        <w:tabs>
          <w:tab w:val="right" w:leader="dot" w:pos="9354"/>
        </w:tabs>
      </w:pPr>
      <w:r>
        <w:fldChar w:fldCharType="begin"/>
      </w:r>
      <w:r>
        <w:instrText xml:space="preserve"> HYPERLINK \l _Toc30178 </w:instrText>
      </w:r>
      <w:r>
        <w:fldChar w:fldCharType="separate"/>
      </w:r>
      <w:r>
        <w:rPr>
          <w:rFonts w:hint="eastAsia" w:ascii="黑体" w:eastAsia="黑体"/>
          <w:i w:val="0"/>
        </w:rPr>
        <w:t xml:space="preserve">19 </w:t>
      </w:r>
      <w:r>
        <w:rPr>
          <w:rFonts w:hint="eastAsia"/>
        </w:rPr>
        <w:t>档案管理</w:t>
      </w:r>
      <w:r>
        <w:tab/>
      </w:r>
      <w:r>
        <w:fldChar w:fldCharType="begin"/>
      </w:r>
      <w:r>
        <w:instrText xml:space="preserve"> PAGEREF _Toc30178 \h </w:instrText>
      </w:r>
      <w:r>
        <w:fldChar w:fldCharType="separate"/>
      </w:r>
      <w:r>
        <w:t>10</w:t>
      </w:r>
      <w:r>
        <w:fldChar w:fldCharType="end"/>
      </w:r>
      <w:r>
        <w:fldChar w:fldCharType="end"/>
      </w:r>
    </w:p>
    <w:p>
      <w:pPr>
        <w:pStyle w:val="19"/>
        <w:tabs>
          <w:tab w:val="right" w:leader="dot" w:pos="9354"/>
        </w:tabs>
      </w:pPr>
      <w:r>
        <w:fldChar w:fldCharType="begin"/>
      </w:r>
      <w:r>
        <w:instrText xml:space="preserve"> HYPERLINK \l _Toc9245 </w:instrText>
      </w:r>
      <w:r>
        <w:fldChar w:fldCharType="separate"/>
      </w:r>
      <w:r>
        <w:rPr>
          <w:rFonts w:hint="eastAsia" w:ascii="黑体" w:eastAsia="黑体"/>
          <w:i w:val="0"/>
        </w:rPr>
        <w:t xml:space="preserve">20 </w:t>
      </w:r>
      <w:r>
        <w:rPr>
          <w:rFonts w:hint="eastAsia"/>
        </w:rPr>
        <w:t>投诉处理</w:t>
      </w:r>
      <w:r>
        <w:tab/>
      </w:r>
      <w:r>
        <w:fldChar w:fldCharType="begin"/>
      </w:r>
      <w:r>
        <w:instrText xml:space="preserve"> PAGEREF _Toc9245 \h </w:instrText>
      </w:r>
      <w:r>
        <w:fldChar w:fldCharType="separate"/>
      </w:r>
      <w:r>
        <w:t>12</w:t>
      </w:r>
      <w:r>
        <w:fldChar w:fldCharType="end"/>
      </w:r>
      <w:r>
        <w:fldChar w:fldCharType="end"/>
      </w:r>
    </w:p>
    <w:p>
      <w:pPr>
        <w:pStyle w:val="19"/>
        <w:tabs>
          <w:tab w:val="right" w:leader="dot" w:pos="9354"/>
        </w:tabs>
      </w:pPr>
      <w:r>
        <w:fldChar w:fldCharType="begin"/>
      </w:r>
      <w:r>
        <w:instrText xml:space="preserve"> HYPERLINK \l _Toc9876 </w:instrText>
      </w:r>
      <w:r>
        <w:fldChar w:fldCharType="separate"/>
      </w:r>
      <w:r>
        <w:rPr>
          <w:rFonts w:hint="eastAsia"/>
          <w:spacing w:val="100"/>
        </w:rPr>
        <w:t xml:space="preserve">附录A </w:t>
      </w:r>
      <w:r>
        <w:t xml:space="preserve"> </w:t>
      </w:r>
      <w:r>
        <w:rPr>
          <w:rFonts w:hint="eastAsia"/>
        </w:rPr>
        <w:t>（资料性）</w:t>
      </w:r>
      <w:r>
        <w:t xml:space="preserve"> </w:t>
      </w:r>
      <w:r>
        <w:rPr>
          <w:rFonts w:hint="eastAsia"/>
        </w:rPr>
        <w:t>各专业领域微量物证执业鉴定范围</w:t>
      </w:r>
      <w:r>
        <w:tab/>
      </w:r>
      <w:r>
        <w:fldChar w:fldCharType="begin"/>
      </w:r>
      <w:r>
        <w:instrText xml:space="preserve"> PAGEREF _Toc9876 \h </w:instrText>
      </w:r>
      <w:r>
        <w:fldChar w:fldCharType="separate"/>
      </w:r>
      <w:r>
        <w:t>15</w:t>
      </w:r>
      <w:r>
        <w:fldChar w:fldCharType="end"/>
      </w:r>
      <w:r>
        <w:fldChar w:fldCharType="end"/>
      </w:r>
    </w:p>
    <w:p>
      <w:pPr>
        <w:pStyle w:val="19"/>
        <w:tabs>
          <w:tab w:val="right" w:leader="dot" w:pos="9354"/>
        </w:tabs>
      </w:pPr>
      <w:r>
        <w:fldChar w:fldCharType="begin"/>
      </w:r>
      <w:r>
        <w:instrText xml:space="preserve"> HYPERLINK \l _Toc3371 </w:instrText>
      </w:r>
      <w:r>
        <w:fldChar w:fldCharType="separate"/>
      </w:r>
      <w:r>
        <w:rPr>
          <w:rFonts w:hint="eastAsia"/>
          <w:spacing w:val="100"/>
        </w:rPr>
        <w:t xml:space="preserve">附录B </w:t>
      </w:r>
      <w:r>
        <w:t xml:space="preserve"> </w:t>
      </w:r>
      <w:r>
        <w:rPr>
          <w:rFonts w:hint="eastAsia"/>
        </w:rPr>
        <w:t>（资料性）</w:t>
      </w:r>
      <w:r>
        <w:t xml:space="preserve"> </w:t>
      </w:r>
      <w:r>
        <w:rPr>
          <w:rFonts w:hint="eastAsia"/>
        </w:rPr>
        <w:t>司法鉴定告知书</w:t>
      </w:r>
      <w:r>
        <w:tab/>
      </w:r>
      <w:r>
        <w:fldChar w:fldCharType="begin"/>
      </w:r>
      <w:r>
        <w:instrText xml:space="preserve"> PAGEREF _Toc3371 \h </w:instrText>
      </w:r>
      <w:r>
        <w:fldChar w:fldCharType="separate"/>
      </w:r>
      <w:r>
        <w:t>21</w:t>
      </w:r>
      <w:r>
        <w:fldChar w:fldCharType="end"/>
      </w:r>
      <w:r>
        <w:fldChar w:fldCharType="end"/>
      </w:r>
    </w:p>
    <w:p>
      <w:pPr>
        <w:pStyle w:val="19"/>
        <w:tabs>
          <w:tab w:val="right" w:leader="dot" w:pos="9354"/>
        </w:tabs>
      </w:pPr>
      <w:r>
        <w:fldChar w:fldCharType="begin"/>
      </w:r>
      <w:r>
        <w:instrText xml:space="preserve"> HYPERLINK \l _Toc3874 </w:instrText>
      </w:r>
      <w:r>
        <w:fldChar w:fldCharType="separate"/>
      </w:r>
      <w:r>
        <w:rPr>
          <w:rFonts w:hint="eastAsia"/>
          <w:spacing w:val="100"/>
        </w:rPr>
        <w:t xml:space="preserve">附录C </w:t>
      </w:r>
      <w:r>
        <w:t xml:space="preserve"> </w:t>
      </w:r>
      <w:r>
        <w:rPr>
          <w:rFonts w:hint="eastAsia"/>
        </w:rPr>
        <w:t>（资料性）</w:t>
      </w:r>
      <w:r>
        <w:t xml:space="preserve"> </w:t>
      </w:r>
      <w:r>
        <w:rPr>
          <w:rFonts w:hint="eastAsia"/>
        </w:rPr>
        <w:t>现场勘查记录表</w:t>
      </w:r>
      <w:r>
        <w:tab/>
      </w:r>
      <w:r>
        <w:fldChar w:fldCharType="begin"/>
      </w:r>
      <w:r>
        <w:instrText xml:space="preserve"> PAGEREF _Toc3874 \h </w:instrText>
      </w:r>
      <w:r>
        <w:fldChar w:fldCharType="separate"/>
      </w:r>
      <w:r>
        <w:t>22</w:t>
      </w:r>
      <w:r>
        <w:fldChar w:fldCharType="end"/>
      </w:r>
      <w:r>
        <w:fldChar w:fldCharType="end"/>
      </w:r>
    </w:p>
    <w:p>
      <w:pPr>
        <w:pStyle w:val="19"/>
        <w:tabs>
          <w:tab w:val="right" w:leader="dot" w:pos="9354"/>
        </w:tabs>
      </w:pPr>
      <w:r>
        <w:fldChar w:fldCharType="begin"/>
      </w:r>
      <w:r>
        <w:instrText xml:space="preserve"> HYPERLINK \l _Toc10491 </w:instrText>
      </w:r>
      <w:r>
        <w:fldChar w:fldCharType="separate"/>
      </w:r>
      <w:r>
        <w:rPr>
          <w:rFonts w:hint="eastAsia"/>
          <w:spacing w:val="100"/>
        </w:rPr>
        <w:t xml:space="preserve">附录D </w:t>
      </w:r>
      <w:r>
        <w:t xml:space="preserve"> </w:t>
      </w:r>
      <w:r>
        <w:rPr>
          <w:rFonts w:hint="eastAsia"/>
        </w:rPr>
        <w:t>（资料性）</w:t>
      </w:r>
      <w:r>
        <w:t xml:space="preserve"> </w:t>
      </w:r>
      <w:r>
        <w:rPr>
          <w:rFonts w:hint="eastAsia"/>
        </w:rPr>
        <w:t>司法鉴定内部复核意见书</w:t>
      </w:r>
      <w:r>
        <w:tab/>
      </w:r>
      <w:r>
        <w:fldChar w:fldCharType="begin"/>
      </w:r>
      <w:r>
        <w:instrText xml:space="preserve"> PAGEREF _Toc10491 \h </w:instrText>
      </w:r>
      <w:r>
        <w:fldChar w:fldCharType="separate"/>
      </w:r>
      <w:r>
        <w:t>23</w:t>
      </w:r>
      <w:r>
        <w:fldChar w:fldCharType="end"/>
      </w:r>
      <w:r>
        <w:fldChar w:fldCharType="end"/>
      </w:r>
    </w:p>
    <w:p>
      <w:r>
        <w:fldChar w:fldCharType="end"/>
      </w:r>
    </w:p>
    <w:p>
      <w:pPr>
        <w:pStyle w:val="71"/>
        <w:spacing w:after="468"/>
      </w:pPr>
      <w:bookmarkStart w:id="23" w:name="_Toc21397"/>
    </w:p>
    <w:p>
      <w:pPr>
        <w:pStyle w:val="71"/>
        <w:spacing w:after="468"/>
      </w:pPr>
    </w:p>
    <w:p>
      <w:pPr>
        <w:pStyle w:val="71"/>
        <w:spacing w:after="468"/>
      </w:pPr>
      <w:r>
        <w:rPr>
          <w:spacing w:val="320"/>
        </w:rPr>
        <w:t>前</w:t>
      </w:r>
      <w:r>
        <w:t>言</w:t>
      </w:r>
      <w:bookmarkEnd w:id="21"/>
      <w:bookmarkEnd w:id="23"/>
    </w:p>
    <w:p>
      <w:pPr>
        <w:pStyle w:val="40"/>
        <w:ind w:firstLine="420"/>
        <w:rPr>
          <w:rFonts w:hint="eastAsia"/>
        </w:rPr>
      </w:pPr>
      <w:r>
        <w:rPr>
          <w:rFonts w:hint="eastAsia"/>
        </w:rPr>
        <w:t>本文件按照GB/T 1.1—2020《标准化工作导则  第1部分：标准化文件的结构和起草规则》的规定起草。</w:t>
      </w:r>
    </w:p>
    <w:p>
      <w:pPr>
        <w:pStyle w:val="40"/>
        <w:ind w:firstLine="420"/>
      </w:pPr>
      <w:r>
        <w:rPr>
          <w:rFonts w:hint="eastAsia"/>
        </w:rPr>
        <w:t>本文件由</w:t>
      </w:r>
      <w:r>
        <w:rPr>
          <w:rFonts w:hint="eastAsia"/>
          <w:szCs w:val="22"/>
        </w:rPr>
        <w:t>江苏省司法鉴定协会</w:t>
      </w:r>
      <w:r>
        <w:rPr>
          <w:rFonts w:hint="eastAsia"/>
        </w:rPr>
        <w:t>提出。</w:t>
      </w:r>
    </w:p>
    <w:p>
      <w:pPr>
        <w:pStyle w:val="40"/>
        <w:ind w:firstLine="420"/>
      </w:pPr>
      <w:r>
        <w:rPr>
          <w:rFonts w:hint="eastAsia"/>
        </w:rPr>
        <w:t>本文件由江苏省司法厅归口。</w:t>
      </w:r>
    </w:p>
    <w:p>
      <w:pPr>
        <w:pStyle w:val="40"/>
        <w:ind w:firstLine="420"/>
        <w:rPr>
          <w:rFonts w:hint="eastAsia"/>
        </w:rPr>
      </w:pPr>
      <w:r>
        <w:rPr>
          <w:rFonts w:hint="eastAsia"/>
        </w:rPr>
        <w:t>本文件起草单位：</w:t>
      </w:r>
    </w:p>
    <w:p>
      <w:pPr>
        <w:pStyle w:val="40"/>
        <w:ind w:firstLine="420"/>
        <w:rPr>
          <w:rFonts w:hint="eastAsia"/>
        </w:rPr>
      </w:pPr>
      <w:r>
        <w:rPr>
          <w:rFonts w:hint="eastAsia"/>
        </w:rPr>
        <w:t>本文件主要起草人：</w:t>
      </w:r>
    </w:p>
    <w:p>
      <w:pPr>
        <w:pStyle w:val="40"/>
        <w:ind w:firstLine="420"/>
      </w:pPr>
    </w:p>
    <w:p>
      <w:pPr>
        <w:pStyle w:val="40"/>
        <w:ind w:firstLine="420"/>
        <w:sectPr>
          <w:headerReference r:id="rId12" w:type="first"/>
          <w:headerReference r:id="rId10" w:type="default"/>
          <w:footerReference r:id="rId13" w:type="default"/>
          <w:headerReference r:id="rId11" w:type="even"/>
          <w:pgSz w:w="11906" w:h="16838"/>
          <w:pgMar w:top="2410" w:right="1134" w:bottom="1134" w:left="1134" w:header="1418" w:footer="1134" w:gutter="284"/>
          <w:pgNumType w:fmt="upperRoman" w:start="1"/>
          <w:cols w:space="720" w:num="1"/>
          <w:formProt w:val="0"/>
          <w:docGrid w:type="lines" w:linePitch="312" w:charSpace="0"/>
        </w:sectPr>
      </w:pPr>
    </w:p>
    <w:bookmarkEnd w:id="22"/>
    <w:p>
      <w:pPr>
        <w:pStyle w:val="71"/>
        <w:spacing w:after="468"/>
      </w:pPr>
      <w:bookmarkStart w:id="24" w:name="_Toc17025"/>
      <w:bookmarkStart w:id="25" w:name="_Toc4981"/>
      <w:bookmarkStart w:id="26" w:name="BookMark3"/>
      <w:r>
        <w:rPr>
          <w:spacing w:val="320"/>
        </w:rPr>
        <w:t>引</w:t>
      </w:r>
      <w:r>
        <w:t>言</w:t>
      </w:r>
      <w:bookmarkEnd w:id="24"/>
      <w:bookmarkEnd w:id="25"/>
    </w:p>
    <w:p>
      <w:pPr>
        <w:pStyle w:val="40"/>
        <w:ind w:firstLine="420"/>
        <w:rPr>
          <w:rFonts w:hint="eastAsia"/>
        </w:rPr>
      </w:pPr>
      <w:r>
        <w:rPr>
          <w:rFonts w:hint="eastAsia"/>
        </w:rPr>
        <w:t>随着法治建设进程的推进，在诉讼、仲裁和调解等活动中，涉及微量物证司法鉴定证据需求日益增长，但相应鉴定工作的技术规程和工作指南都未对司法鉴定的程序进行专门性规范。</w:t>
      </w:r>
    </w:p>
    <w:p>
      <w:pPr>
        <w:pStyle w:val="40"/>
        <w:ind w:firstLine="420"/>
      </w:pPr>
      <w:r>
        <w:rPr>
          <w:rFonts w:hint="eastAsia"/>
        </w:rPr>
        <w:t>为规范司法鉴定机构和司法鉴定人在微量物证鉴定工作中的执业行为，提高微量物证司法鉴定工作程序的规范化，解决诉讼、仲裁和调解等活动中程序性问题。编制组以微量物证司法鉴定方面的专业知识及现行法律法规为基础，经充分调查研究，广泛征求意见，结合本省微量物证司法鉴定专家的共识和编制单位的研究成果及经验，制定本文件。</w:t>
      </w:r>
    </w:p>
    <w:p>
      <w:pPr>
        <w:pStyle w:val="40"/>
        <w:ind w:firstLine="420"/>
      </w:pPr>
    </w:p>
    <w:p>
      <w:pPr>
        <w:pStyle w:val="40"/>
        <w:ind w:firstLine="420"/>
        <w:sectPr>
          <w:pgSz w:w="11906" w:h="16838"/>
          <w:pgMar w:top="2410" w:right="1134" w:bottom="1134" w:left="1134" w:header="1418" w:footer="1134" w:gutter="284"/>
          <w:pgNumType w:fmt="upperRoman"/>
          <w:cols w:space="720" w:num="1"/>
          <w:formProt w:val="0"/>
          <w:docGrid w:type="lines" w:linePitch="312" w:charSpace="0"/>
        </w:sectPr>
      </w:pPr>
    </w:p>
    <w:bookmarkEnd w:id="26"/>
    <w:p>
      <w:pPr>
        <w:spacing w:line="20" w:lineRule="exact"/>
        <w:jc w:val="center"/>
        <w:rPr>
          <w:rFonts w:ascii="黑体" w:hAnsi="黑体" w:eastAsia="黑体"/>
          <w:sz w:val="32"/>
          <w:szCs w:val="32"/>
        </w:rPr>
      </w:pPr>
      <w:bookmarkStart w:id="27" w:name="BookMark4"/>
    </w:p>
    <w:p>
      <w:pPr>
        <w:spacing w:line="20" w:lineRule="exact"/>
        <w:jc w:val="center"/>
        <w:rPr>
          <w:rFonts w:ascii="黑体" w:hAnsi="黑体" w:eastAsia="黑体"/>
          <w:sz w:val="32"/>
          <w:szCs w:val="32"/>
        </w:rPr>
      </w:pPr>
    </w:p>
    <w:p>
      <w:pPr>
        <w:pStyle w:val="154"/>
        <w:spacing w:beforeLines="100" w:afterLines="220"/>
      </w:pPr>
      <w:bookmarkStart w:id="28" w:name="NEW_STAND_NAME"/>
      <w:r>
        <w:rPr>
          <w:rFonts w:hint="eastAsia"/>
        </w:rPr>
        <w:t>微量物证司法鉴定程序规范</w:t>
      </w:r>
    </w:p>
    <w:bookmarkEnd w:id="28"/>
    <w:p>
      <w:pPr>
        <w:pStyle w:val="83"/>
        <w:spacing w:before="312" w:after="312"/>
      </w:pPr>
      <w:bookmarkStart w:id="29" w:name="_Toc26986771"/>
      <w:bookmarkStart w:id="30" w:name="_Toc26570"/>
      <w:bookmarkStart w:id="31" w:name="_Toc24884218"/>
      <w:bookmarkStart w:id="32" w:name="_Toc26986530"/>
      <w:bookmarkStart w:id="33" w:name="_Toc26648465"/>
      <w:bookmarkStart w:id="34" w:name="_Toc24884211"/>
      <w:bookmarkStart w:id="35" w:name="_Toc26718930"/>
      <w:bookmarkStart w:id="36" w:name="_Toc17233333"/>
      <w:bookmarkStart w:id="37" w:name="_Toc22792"/>
      <w:bookmarkStart w:id="38" w:name="_Toc17233325"/>
      <w:r>
        <w:rPr>
          <w:rFonts w:hint="eastAsia"/>
        </w:rPr>
        <w:t>范围</w:t>
      </w:r>
      <w:bookmarkEnd w:id="29"/>
      <w:bookmarkEnd w:id="30"/>
      <w:bookmarkEnd w:id="31"/>
      <w:bookmarkEnd w:id="32"/>
      <w:bookmarkEnd w:id="33"/>
      <w:bookmarkEnd w:id="34"/>
      <w:bookmarkEnd w:id="35"/>
      <w:bookmarkEnd w:id="36"/>
      <w:bookmarkEnd w:id="37"/>
      <w:bookmarkEnd w:id="38"/>
    </w:p>
    <w:p>
      <w:pPr>
        <w:pStyle w:val="40"/>
        <w:ind w:firstLine="420"/>
      </w:pPr>
      <w:bookmarkStart w:id="39" w:name="_Toc24884219"/>
      <w:bookmarkStart w:id="40" w:name="_Toc17233326"/>
      <w:bookmarkStart w:id="41" w:name="_Toc26648466"/>
      <w:bookmarkStart w:id="42" w:name="_Toc17233334"/>
      <w:bookmarkStart w:id="43" w:name="_Toc24884212"/>
      <w:r>
        <w:rPr>
          <w:rFonts w:hint="eastAsia"/>
        </w:rPr>
        <w:t>本文件适用于江苏省司法厅登记的微量物证司法鉴定机构和司法鉴定人的司法鉴定工作程序和要求，非司法鉴定工作流程可参照本文件执行。</w:t>
      </w:r>
    </w:p>
    <w:p>
      <w:pPr>
        <w:pStyle w:val="83"/>
        <w:spacing w:before="312" w:after="312"/>
      </w:pPr>
      <w:bookmarkStart w:id="44" w:name="_Toc26986772"/>
      <w:bookmarkStart w:id="45" w:name="_Toc26718931"/>
      <w:bookmarkStart w:id="46" w:name="_Toc26986531"/>
      <w:bookmarkStart w:id="47" w:name="_Toc17668"/>
      <w:bookmarkStart w:id="48" w:name="_Toc25122"/>
      <w:r>
        <w:rPr>
          <w:rFonts w:hint="eastAsia"/>
        </w:rPr>
        <w:t>规范性引用文件</w:t>
      </w:r>
      <w:bookmarkEnd w:id="39"/>
      <w:bookmarkEnd w:id="40"/>
      <w:bookmarkEnd w:id="41"/>
      <w:bookmarkEnd w:id="42"/>
      <w:bookmarkEnd w:id="43"/>
      <w:bookmarkEnd w:id="44"/>
      <w:bookmarkEnd w:id="45"/>
      <w:bookmarkEnd w:id="46"/>
      <w:bookmarkEnd w:id="47"/>
      <w:bookmarkEnd w:id="48"/>
    </w:p>
    <w:p>
      <w:pPr>
        <w:pStyle w:val="40"/>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p>
      <w:pPr>
        <w:pStyle w:val="202"/>
        <w:rPr>
          <w:rFonts w:ascii="Times New Roman"/>
        </w:rPr>
      </w:pPr>
      <w:r>
        <w:rPr>
          <w:rFonts w:hint="eastAsia" w:ascii="Times New Roman"/>
        </w:rPr>
        <w:t>《物证类司法鉴定执业分类规定》</w:t>
      </w:r>
    </w:p>
    <w:p>
      <w:pPr>
        <w:pStyle w:val="40"/>
        <w:ind w:firstLine="420"/>
      </w:pPr>
      <w:r>
        <w:rPr>
          <w:rFonts w:hint="eastAsia" w:ascii="Times New Roman"/>
        </w:rPr>
        <w:t>《司法鉴定</w:t>
      </w:r>
      <w:r>
        <w:rPr>
          <w:rFonts w:ascii="Times New Roman"/>
        </w:rPr>
        <w:t>/</w:t>
      </w:r>
      <w:r>
        <w:rPr>
          <w:rFonts w:hint="eastAsia" w:ascii="Times New Roman"/>
        </w:rPr>
        <w:t>法庭科学机构能力通用要求》</w:t>
      </w:r>
      <w:r>
        <w:rPr>
          <w:rFonts w:ascii="Times New Roman"/>
        </w:rPr>
        <w:t>RB/T198</w:t>
      </w:r>
    </w:p>
    <w:p>
      <w:pPr>
        <w:pStyle w:val="83"/>
        <w:spacing w:before="312" w:after="312"/>
      </w:pPr>
      <w:bookmarkStart w:id="49" w:name="_Toc20941"/>
      <w:bookmarkStart w:id="50" w:name="_Toc13188"/>
      <w:r>
        <w:rPr>
          <w:rFonts w:hint="eastAsia"/>
          <w:szCs w:val="21"/>
        </w:rPr>
        <w:t>术语和定义</w:t>
      </w:r>
      <w:bookmarkEnd w:id="49"/>
      <w:bookmarkEnd w:id="50"/>
    </w:p>
    <w:p>
      <w:pPr>
        <w:pStyle w:val="40"/>
        <w:ind w:firstLine="420"/>
      </w:pPr>
      <w:bookmarkStart w:id="51" w:name="_Toc26986532"/>
      <w:bookmarkEnd w:id="51"/>
      <w:r>
        <w:t>下列术语和定义适用于本文件。</w:t>
      </w:r>
    </w:p>
    <w:p>
      <w:pPr>
        <w:pStyle w:val="84"/>
        <w:spacing w:before="156" w:after="156"/>
        <w:ind w:left="0"/>
        <w:rPr>
          <w:rFonts w:hint="eastAsia"/>
        </w:rPr>
      </w:pPr>
      <w:bookmarkStart w:id="52" w:name="_Toc132642673"/>
      <w:bookmarkStart w:id="53" w:name="_Toc23275"/>
      <w:r>
        <w:rPr>
          <w:rFonts w:hint="eastAsia" w:cs="黑体"/>
        </w:rPr>
        <w:t>微量物证司法鉴定</w:t>
      </w:r>
      <w:bookmarkEnd w:id="52"/>
      <w:r>
        <w:rPr>
          <w:rFonts w:hint="eastAsia" w:cs="黑体"/>
        </w:rPr>
        <w:t xml:space="preserve"> </w:t>
      </w:r>
      <w:r>
        <w:rPr>
          <w:rFonts w:ascii="Times New Roman"/>
        </w:rPr>
        <w:t>judicial identification of trace evidence</w:t>
      </w:r>
      <w:bookmarkEnd w:id="53"/>
    </w:p>
    <w:p>
      <w:pPr>
        <w:pStyle w:val="40"/>
        <w:ind w:firstLine="420"/>
        <w:rPr>
          <w:rFonts w:hint="eastAsia" w:ascii="Times New Roman"/>
        </w:rPr>
      </w:pPr>
      <w:r>
        <w:rPr>
          <w:rFonts w:hint="eastAsia" w:ascii="Times New Roman"/>
        </w:rPr>
        <w:t>司法鉴定人运用理化检验的原理、方法或专门知识，使用专门的分析仪器，对物质的物理性质、化学性质和成分组成进行检验检测和分析判断并提供司法鉴定意见的活动。</w:t>
      </w:r>
    </w:p>
    <w:p>
      <w:pPr>
        <w:pStyle w:val="156"/>
        <w:rPr>
          <w:rFonts w:hint="eastAsia"/>
        </w:rPr>
      </w:pPr>
      <w:r>
        <w:rPr>
          <w:rFonts w:hint="eastAsia"/>
        </w:rPr>
        <w:t>物理性质包括物质的外观、重量、密度、力学性质、热学性质、光学性质和电磁学性质等；化学性质包括物质的可燃性、阻燃性、稳定性、不稳定性、热稳定性、酸性、碱性、氧化性和还原性等；成分组成包括物质中所含有机物、无机物的种类和含量等。</w:t>
      </w:r>
    </w:p>
    <w:p>
      <w:pPr>
        <w:pStyle w:val="84"/>
        <w:spacing w:before="156" w:after="156"/>
        <w:ind w:left="0"/>
        <w:rPr>
          <w:rFonts w:hint="eastAsia"/>
        </w:rPr>
      </w:pPr>
      <w:bookmarkStart w:id="54" w:name="_Toc3090"/>
      <w:r>
        <w:rPr>
          <w:rFonts w:hint="eastAsia"/>
        </w:rPr>
        <w:t xml:space="preserve">鉴定事项 </w:t>
      </w:r>
      <w:r>
        <w:rPr>
          <w:rFonts w:hint="eastAsia" w:ascii="Times New Roman"/>
        </w:rPr>
        <w:t>identification matters</w:t>
      </w:r>
      <w:bookmarkEnd w:id="54"/>
    </w:p>
    <w:p>
      <w:pPr>
        <w:pStyle w:val="40"/>
        <w:ind w:firstLine="420"/>
        <w:rPr>
          <w:rFonts w:hint="eastAsia"/>
        </w:rPr>
      </w:pPr>
      <w:r>
        <w:rPr>
          <w:rFonts w:hint="eastAsia"/>
        </w:rPr>
        <w:t>争议事项涉及的具体问题，当事人的举证无法达到证据要素时，需要对争议专门性问题进行鉴别、判断并出具司法鉴定意见的委托鉴定内容。</w:t>
      </w:r>
    </w:p>
    <w:p>
      <w:pPr>
        <w:pStyle w:val="156"/>
        <w:rPr>
          <w:rFonts w:hint="eastAsia"/>
        </w:rPr>
      </w:pPr>
      <w:r>
        <w:rPr>
          <w:rFonts w:hint="eastAsia"/>
        </w:rPr>
        <w:t>专门性问题包括，化工产品类、金属和矿物类、纺织品类、日用化学品类、文化用品类、食品类、易燃物质类、爆炸物类、射击残留物类、交通事故微量物证、火灾微量物证鉴定的物理性质、化学性质、</w:t>
      </w:r>
      <w:r>
        <w:rPr>
          <w:rFonts w:hint="eastAsia" w:ascii="Times New Roman"/>
        </w:rPr>
        <w:t>成分组成</w:t>
      </w:r>
      <w:r>
        <w:rPr>
          <w:rFonts w:hint="eastAsia"/>
        </w:rPr>
        <w:t>。</w:t>
      </w:r>
    </w:p>
    <w:p>
      <w:pPr>
        <w:pStyle w:val="84"/>
        <w:spacing w:before="156" w:after="156"/>
        <w:ind w:left="0"/>
        <w:rPr>
          <w:rFonts w:hint="eastAsia"/>
        </w:rPr>
      </w:pPr>
      <w:bookmarkStart w:id="55" w:name="_Toc131621916"/>
      <w:bookmarkStart w:id="56" w:name="_Toc132642675"/>
      <w:bookmarkStart w:id="57" w:name="_Toc91698850"/>
      <w:bookmarkStart w:id="58" w:name="_Toc91698657"/>
      <w:bookmarkStart w:id="59" w:name="_Toc16966"/>
      <w:r>
        <w:rPr>
          <w:rFonts w:hint="eastAsia"/>
        </w:rPr>
        <w:t>司法鉴定机构</w:t>
      </w:r>
      <w:bookmarkEnd w:id="55"/>
      <w:bookmarkEnd w:id="56"/>
      <w:bookmarkEnd w:id="57"/>
      <w:bookmarkEnd w:id="58"/>
      <w:r>
        <w:rPr>
          <w:rFonts w:hint="eastAsia"/>
        </w:rPr>
        <w:t xml:space="preserve"> </w:t>
      </w:r>
      <w:r>
        <w:rPr>
          <w:rFonts w:ascii="Times New Roman"/>
        </w:rPr>
        <w:t>judicial identificationinstitution</w:t>
      </w:r>
      <w:bookmarkEnd w:id="59"/>
    </w:p>
    <w:p>
      <w:pPr>
        <w:pStyle w:val="40"/>
        <w:ind w:firstLine="420"/>
        <w:rPr>
          <w:rFonts w:hint="eastAsia"/>
        </w:rPr>
      </w:pPr>
      <w:r>
        <w:rPr>
          <w:rFonts w:hint="eastAsia"/>
        </w:rPr>
        <w:t>经司法行政部门审核予以登记并取得《司法鉴定许可证》，从事微量物证司法鉴定业务的法人或其他组织。</w:t>
      </w:r>
    </w:p>
    <w:p>
      <w:pPr>
        <w:pStyle w:val="84"/>
        <w:spacing w:before="156" w:after="156"/>
        <w:ind w:left="0"/>
        <w:rPr>
          <w:rFonts w:hint="eastAsia"/>
        </w:rPr>
      </w:pPr>
      <w:bookmarkStart w:id="60" w:name="_Toc91698659"/>
      <w:bookmarkStart w:id="61" w:name="_Toc131621918"/>
      <w:bookmarkStart w:id="62" w:name="_Toc91698852"/>
      <w:bookmarkStart w:id="63" w:name="_Toc132642676"/>
      <w:bookmarkStart w:id="64" w:name="_Toc29981"/>
      <w:r>
        <w:rPr>
          <w:rFonts w:hint="eastAsia"/>
        </w:rPr>
        <w:t>司法鉴定人</w:t>
      </w:r>
      <w:bookmarkEnd w:id="60"/>
      <w:bookmarkEnd w:id="61"/>
      <w:bookmarkEnd w:id="62"/>
      <w:bookmarkEnd w:id="63"/>
      <w:r>
        <w:rPr>
          <w:rFonts w:hint="eastAsia"/>
        </w:rPr>
        <w:t xml:space="preserve"> </w:t>
      </w:r>
      <w:r>
        <w:fldChar w:fldCharType="begin"/>
      </w:r>
      <w:r>
        <w:instrText xml:space="preserve"> HYPERLINK "http://www.youdao.com/w/judicial%20appraiser/" \l "keyfrom=E2Ctranslation" </w:instrText>
      </w:r>
      <w:r>
        <w:fldChar w:fldCharType="separate"/>
      </w:r>
      <w:r>
        <w:rPr>
          <w:rFonts w:ascii="Times New Roman"/>
        </w:rPr>
        <w:t>judicial e</w:t>
      </w:r>
      <w:r>
        <w:rPr>
          <w:rFonts w:ascii="Times New Roman"/>
        </w:rPr>
        <w:fldChar w:fldCharType="end"/>
      </w:r>
      <w:r>
        <w:rPr>
          <w:rFonts w:ascii="Times New Roman"/>
        </w:rPr>
        <w:t>xpert</w:t>
      </w:r>
      <w:bookmarkEnd w:id="64"/>
    </w:p>
    <w:p>
      <w:pPr>
        <w:pStyle w:val="40"/>
        <w:ind w:firstLine="420"/>
        <w:rPr>
          <w:rFonts w:hint="eastAsia"/>
        </w:rPr>
      </w:pPr>
      <w:r>
        <w:rPr>
          <w:rFonts w:hint="eastAsia"/>
        </w:rPr>
        <w:t>经司法行政部门考核审查予以批准登记并取得《司法鉴定人执业证》，从事微量物证司法鉴定的自然人。</w:t>
      </w:r>
    </w:p>
    <w:p>
      <w:pPr>
        <w:pStyle w:val="84"/>
        <w:spacing w:before="156" w:after="156"/>
        <w:ind w:left="0"/>
        <w:rPr>
          <w:rFonts w:ascii="Times New Roman"/>
        </w:rPr>
      </w:pPr>
      <w:bookmarkStart w:id="65" w:name="_Toc91698856"/>
      <w:bookmarkStart w:id="66" w:name="_Toc132642678"/>
      <w:bookmarkStart w:id="67" w:name="_Toc91698663"/>
      <w:bookmarkStart w:id="68" w:name="_Toc131621922"/>
      <w:bookmarkStart w:id="69" w:name="_Toc1266"/>
      <w:r>
        <w:rPr>
          <w:rFonts w:hint="eastAsia"/>
        </w:rPr>
        <w:t>微量物证司法鉴定委托书</w:t>
      </w:r>
      <w:bookmarkEnd w:id="65"/>
      <w:bookmarkEnd w:id="66"/>
      <w:bookmarkEnd w:id="67"/>
      <w:bookmarkEnd w:id="68"/>
      <w:r>
        <w:rPr>
          <w:rFonts w:hint="eastAsia"/>
          <w:lang w:val="en-US" w:eastAsia="zh-CN"/>
        </w:rPr>
        <w:t xml:space="preserve"> </w:t>
      </w:r>
      <w:r>
        <w:rPr>
          <w:rFonts w:ascii="Times New Roman"/>
        </w:rPr>
        <w:t>power of attorney for judicial identification of trace evidence</w:t>
      </w:r>
      <w:bookmarkEnd w:id="69"/>
    </w:p>
    <w:p>
      <w:pPr>
        <w:pStyle w:val="40"/>
        <w:ind w:firstLine="420"/>
        <w:rPr>
          <w:rFonts w:ascii="Times New Roman"/>
        </w:rPr>
      </w:pPr>
      <w:r>
        <w:rPr>
          <w:rFonts w:ascii="Times New Roman"/>
        </w:rPr>
        <w:t>司法鉴定机构在受理微量物证司法鉴定委托时，就司法鉴定委托事项与委托人在协商一致的基础上签订的协议书。</w:t>
      </w:r>
    </w:p>
    <w:p>
      <w:pPr>
        <w:pStyle w:val="84"/>
        <w:spacing w:before="156" w:after="156"/>
        <w:ind w:left="0"/>
        <w:rPr>
          <w:rFonts w:ascii="Times New Roman"/>
        </w:rPr>
      </w:pPr>
      <w:bookmarkStart w:id="70" w:name="_Toc91698665"/>
      <w:bookmarkStart w:id="71" w:name="_Toc132642679"/>
      <w:bookmarkStart w:id="72" w:name="_Toc131621924"/>
      <w:bookmarkStart w:id="73" w:name="_Toc91698858"/>
      <w:bookmarkStart w:id="74" w:name="_Toc8791"/>
      <w:r>
        <w:rPr>
          <w:rFonts w:ascii="Times New Roman"/>
        </w:rPr>
        <w:t>受理前调查 pre-acceptance inspection</w:t>
      </w:r>
      <w:bookmarkEnd w:id="70"/>
      <w:bookmarkEnd w:id="71"/>
      <w:bookmarkEnd w:id="72"/>
      <w:bookmarkEnd w:id="73"/>
      <w:bookmarkEnd w:id="74"/>
    </w:p>
    <w:p>
      <w:pPr>
        <w:pStyle w:val="40"/>
        <w:ind w:firstLine="420"/>
        <w:rPr>
          <w:rFonts w:ascii="Times New Roman"/>
        </w:rPr>
      </w:pPr>
      <w:r>
        <w:rPr>
          <w:rFonts w:ascii="Times New Roman"/>
        </w:rPr>
        <w:t>司法鉴定机构为了确认是否接受委托，而根据委托事项进行的评审工作，包括但不限于资质能力确认、检材确认，对涉案现场进行实地查看和案情调查等工作。</w:t>
      </w:r>
    </w:p>
    <w:p>
      <w:pPr>
        <w:pStyle w:val="84"/>
        <w:spacing w:before="156" w:after="156"/>
        <w:ind w:left="0"/>
        <w:rPr>
          <w:rFonts w:ascii="Times New Roman"/>
        </w:rPr>
      </w:pPr>
      <w:bookmarkStart w:id="75" w:name="_Toc131621926"/>
      <w:bookmarkStart w:id="76" w:name="_Toc91698860"/>
      <w:bookmarkStart w:id="77" w:name="_Toc91698667"/>
      <w:bookmarkStart w:id="78" w:name="_Toc132642680"/>
      <w:bookmarkStart w:id="79" w:name="_Toc20902"/>
      <w:r>
        <w:rPr>
          <w:rFonts w:ascii="Times New Roman"/>
        </w:rPr>
        <w:t>鉴定方案</w:t>
      </w:r>
      <w:bookmarkEnd w:id="75"/>
      <w:bookmarkEnd w:id="76"/>
      <w:bookmarkEnd w:id="77"/>
      <w:bookmarkEnd w:id="78"/>
      <w:r>
        <w:rPr>
          <w:rFonts w:hint="eastAsia" w:ascii="Times New Roman"/>
        </w:rPr>
        <w:t xml:space="preserve"> </w:t>
      </w:r>
      <w:r>
        <w:rPr>
          <w:rFonts w:ascii="Times New Roman"/>
        </w:rPr>
        <w:t>identification scheme</w:t>
      </w:r>
      <w:bookmarkEnd w:id="79"/>
    </w:p>
    <w:p>
      <w:pPr>
        <w:pStyle w:val="40"/>
        <w:ind w:firstLine="420"/>
        <w:rPr>
          <w:rFonts w:ascii="Times New Roman"/>
        </w:rPr>
      </w:pPr>
      <w:r>
        <w:rPr>
          <w:rFonts w:ascii="Times New Roman"/>
        </w:rPr>
        <w:t>司法鉴定人根据已受理的委托鉴定事项，专门编制的鉴定工作实施方案。</w:t>
      </w:r>
    </w:p>
    <w:p>
      <w:pPr>
        <w:pStyle w:val="84"/>
        <w:spacing w:before="156" w:after="156"/>
        <w:ind w:left="0"/>
        <w:rPr>
          <w:rFonts w:ascii="Times New Roman"/>
        </w:rPr>
      </w:pPr>
      <w:bookmarkStart w:id="80" w:name="_Toc131621928"/>
      <w:bookmarkStart w:id="81" w:name="_Toc91698862"/>
      <w:bookmarkStart w:id="82" w:name="_Toc91698669"/>
      <w:bookmarkStart w:id="83" w:name="_Toc132642681"/>
      <w:bookmarkStart w:id="84" w:name="_Toc8878"/>
      <w:r>
        <w:rPr>
          <w:rFonts w:ascii="Times New Roman"/>
        </w:rPr>
        <w:t>鉴定依据</w:t>
      </w:r>
      <w:bookmarkEnd w:id="80"/>
      <w:bookmarkEnd w:id="81"/>
      <w:bookmarkEnd w:id="82"/>
      <w:bookmarkEnd w:id="83"/>
      <w:r>
        <w:rPr>
          <w:rFonts w:hint="eastAsia" w:ascii="Times New Roman"/>
        </w:rPr>
        <w:t xml:space="preserve"> </w:t>
      </w:r>
      <w:r>
        <w:rPr>
          <w:rFonts w:ascii="Times New Roman"/>
        </w:rPr>
        <w:t>identification basis</w:t>
      </w:r>
      <w:bookmarkEnd w:id="84"/>
    </w:p>
    <w:p>
      <w:pPr>
        <w:pStyle w:val="40"/>
        <w:ind w:firstLine="420"/>
        <w:rPr>
          <w:rFonts w:ascii="Times New Roman"/>
        </w:rPr>
      </w:pPr>
      <w:r>
        <w:rPr>
          <w:rFonts w:ascii="Times New Roman"/>
        </w:rPr>
        <w:t>经与委托人确认，适用鉴定事项的法律、法规、规章、协议、设计文件、专业标准规范以及由当事人提交经委托人质证的用作鉴定的证据。</w:t>
      </w:r>
    </w:p>
    <w:p>
      <w:pPr>
        <w:pStyle w:val="84"/>
        <w:spacing w:before="156" w:after="156"/>
        <w:ind w:left="0"/>
        <w:rPr>
          <w:rFonts w:ascii="Times New Roman"/>
        </w:rPr>
      </w:pPr>
      <w:bookmarkStart w:id="85" w:name="_Toc91698673"/>
      <w:bookmarkStart w:id="86" w:name="_Toc131621930"/>
      <w:bookmarkStart w:id="87" w:name="_Toc91698866"/>
      <w:bookmarkStart w:id="88" w:name="_Toc132642682"/>
      <w:bookmarkStart w:id="89" w:name="_Toc29291"/>
      <w:r>
        <w:rPr>
          <w:rFonts w:ascii="Times New Roman"/>
        </w:rPr>
        <w:t>现场勘查</w:t>
      </w:r>
      <w:bookmarkEnd w:id="85"/>
      <w:bookmarkEnd w:id="86"/>
      <w:bookmarkEnd w:id="87"/>
      <w:bookmarkEnd w:id="88"/>
      <w:r>
        <w:rPr>
          <w:rFonts w:hint="eastAsia" w:ascii="Times New Roman"/>
          <w:lang w:val="en-US" w:eastAsia="zh-CN"/>
        </w:rPr>
        <w:t xml:space="preserve"> </w:t>
      </w:r>
      <w:r>
        <w:rPr>
          <w:rFonts w:ascii="Times New Roman"/>
        </w:rPr>
        <w:t>scene investigation</w:t>
      </w:r>
      <w:bookmarkEnd w:id="89"/>
    </w:p>
    <w:p>
      <w:pPr>
        <w:pStyle w:val="40"/>
        <w:ind w:firstLine="420"/>
        <w:rPr>
          <w:rFonts w:ascii="Times New Roman"/>
        </w:rPr>
      </w:pPr>
      <w:r>
        <w:rPr>
          <w:rFonts w:ascii="Times New Roman"/>
        </w:rPr>
        <w:t>在委托人组织下或经委托人许可，司法鉴定人会同各方当事人或相关人员共同到达现场，进行取证、查证等工作。</w:t>
      </w:r>
    </w:p>
    <w:p>
      <w:pPr>
        <w:pStyle w:val="84"/>
        <w:spacing w:before="156" w:after="156"/>
        <w:ind w:left="0"/>
        <w:rPr>
          <w:rFonts w:ascii="Times New Roman"/>
        </w:rPr>
      </w:pPr>
      <w:bookmarkStart w:id="90" w:name="_Toc91698675"/>
      <w:bookmarkStart w:id="91" w:name="_Toc132642683"/>
      <w:bookmarkStart w:id="92" w:name="_Toc91698868"/>
      <w:bookmarkStart w:id="93" w:name="_Toc131621932"/>
      <w:bookmarkStart w:id="94" w:name="_Toc23464"/>
      <w:r>
        <w:rPr>
          <w:rFonts w:ascii="Times New Roman"/>
        </w:rPr>
        <w:t>检验 inspect</w:t>
      </w:r>
      <w:bookmarkEnd w:id="90"/>
      <w:bookmarkEnd w:id="91"/>
      <w:bookmarkEnd w:id="92"/>
      <w:bookmarkEnd w:id="93"/>
      <w:bookmarkEnd w:id="94"/>
    </w:p>
    <w:p>
      <w:pPr>
        <w:pStyle w:val="40"/>
        <w:ind w:firstLine="420"/>
        <w:rPr>
          <w:rFonts w:ascii="Times New Roman"/>
        </w:rPr>
      </w:pPr>
      <w:r>
        <w:rPr>
          <w:rFonts w:ascii="Times New Roman"/>
        </w:rPr>
        <w:t>对鉴定对象的状况或性能所进行的检查和验证等工作。</w:t>
      </w:r>
    </w:p>
    <w:p>
      <w:pPr>
        <w:pStyle w:val="84"/>
        <w:spacing w:before="156" w:after="156"/>
        <w:ind w:left="0"/>
        <w:rPr>
          <w:rFonts w:ascii="Times New Roman"/>
        </w:rPr>
      </w:pPr>
      <w:bookmarkStart w:id="95" w:name="_Toc132642684"/>
      <w:bookmarkStart w:id="96" w:name="_Toc29634"/>
      <w:r>
        <w:rPr>
          <w:rFonts w:ascii="Times New Roman"/>
        </w:rPr>
        <w:t>检测 testing</w:t>
      </w:r>
      <w:bookmarkEnd w:id="95"/>
      <w:bookmarkEnd w:id="96"/>
    </w:p>
    <w:p>
      <w:pPr>
        <w:pStyle w:val="40"/>
        <w:ind w:firstLine="420"/>
        <w:rPr>
          <w:rFonts w:ascii="Times New Roman"/>
        </w:rPr>
      </w:pPr>
      <w:r>
        <w:rPr>
          <w:rFonts w:ascii="Times New Roman"/>
        </w:rPr>
        <w:t>对鉴定对象的状况或性能所进行的测量和取样试验等工作。</w:t>
      </w:r>
    </w:p>
    <w:p>
      <w:pPr>
        <w:pStyle w:val="84"/>
        <w:spacing w:before="156" w:after="156"/>
        <w:ind w:left="2"/>
        <w:rPr>
          <w:rFonts w:ascii="Times New Roman"/>
        </w:rPr>
      </w:pPr>
      <w:bookmarkStart w:id="97" w:name="_Toc132642685"/>
      <w:bookmarkStart w:id="98" w:name="_Toc22647"/>
      <w:r>
        <w:rPr>
          <w:rFonts w:ascii="Times New Roman"/>
        </w:rPr>
        <w:t>司法鉴定意见书</w:t>
      </w:r>
      <w:bookmarkEnd w:id="97"/>
      <w:r>
        <w:rPr>
          <w:rFonts w:hint="eastAsia" w:ascii="Times New Roman"/>
        </w:rPr>
        <w:t xml:space="preserve"> </w:t>
      </w:r>
      <w:r>
        <w:rPr>
          <w:rFonts w:ascii="Times New Roman"/>
        </w:rPr>
        <w:t>judicial expert report</w:t>
      </w:r>
      <w:bookmarkEnd w:id="98"/>
    </w:p>
    <w:p>
      <w:pPr>
        <w:pStyle w:val="40"/>
        <w:ind w:firstLine="420"/>
        <w:rPr>
          <w:rFonts w:hint="eastAsia"/>
        </w:rPr>
      </w:pPr>
      <w:r>
        <w:rPr>
          <w:rFonts w:hint="eastAsia"/>
        </w:rPr>
        <w:t>司法鉴定机构和司法鉴定人出具的载明司法鉴定人对委托鉴定事项专业判断意见的文书。</w:t>
      </w:r>
    </w:p>
    <w:p>
      <w:pPr>
        <w:pStyle w:val="83"/>
        <w:spacing w:before="312" w:after="312"/>
        <w:rPr>
          <w:rFonts w:hint="eastAsia"/>
        </w:rPr>
      </w:pPr>
      <w:bookmarkStart w:id="99" w:name="_Toc27138"/>
      <w:bookmarkStart w:id="100" w:name="_Toc19147"/>
      <w:r>
        <w:rPr>
          <w:rFonts w:hint="eastAsia"/>
        </w:rPr>
        <w:t>基本规定</w:t>
      </w:r>
      <w:bookmarkEnd w:id="99"/>
      <w:bookmarkEnd w:id="100"/>
    </w:p>
    <w:p>
      <w:pPr>
        <w:pStyle w:val="84"/>
        <w:spacing w:before="156" w:after="156"/>
        <w:ind w:left="0"/>
        <w:rPr>
          <w:rFonts w:ascii="宋体" w:hAnsi="宋体" w:eastAsia="宋体"/>
        </w:rPr>
      </w:pPr>
      <w:bookmarkStart w:id="101" w:name="_Toc131621937"/>
      <w:bookmarkStart w:id="102" w:name="_Toc132642687"/>
      <w:bookmarkStart w:id="103" w:name="_Toc25170"/>
      <w:r>
        <w:rPr>
          <w:rFonts w:hint="eastAsia" w:ascii="宋体" w:hAnsi="宋体" w:eastAsia="宋体"/>
        </w:rPr>
        <w:t>当受理司法鉴定委托时，司法鉴定机构必须具有江苏省司法厅登记的司法鉴定许可资质，司法鉴定人必须持有司法鉴定人执业资格。</w:t>
      </w:r>
      <w:bookmarkEnd w:id="101"/>
      <w:bookmarkEnd w:id="102"/>
      <w:bookmarkEnd w:id="103"/>
    </w:p>
    <w:p>
      <w:pPr>
        <w:pStyle w:val="84"/>
        <w:spacing w:before="156" w:after="156"/>
        <w:ind w:left="0"/>
        <w:rPr>
          <w:rFonts w:hint="eastAsia"/>
        </w:rPr>
      </w:pPr>
      <w:bookmarkStart w:id="104" w:name="_Toc131621938"/>
      <w:bookmarkStart w:id="105" w:name="_Toc91698680"/>
      <w:bookmarkStart w:id="106" w:name="_Toc81573571"/>
      <w:bookmarkStart w:id="107" w:name="_Toc91698873"/>
      <w:bookmarkStart w:id="108" w:name="_Toc81493128"/>
      <w:bookmarkStart w:id="109" w:name="_Toc132642689"/>
      <w:bookmarkStart w:id="110" w:name="_Toc28350"/>
      <w:bookmarkStart w:id="111" w:name="_Toc132642688"/>
      <w:r>
        <w:rPr>
          <w:rFonts w:hint="eastAsia" w:ascii="宋体" w:hAnsi="宋体" w:eastAsia="宋体"/>
        </w:rPr>
        <w:t>未在司法行政部门登记的机构接受委托时，必须有相应的鉴定能力的资质证明，且为法院委托鉴定机构信息平台的录用机构。鉴定人应有从事十年以上的鉴定工作经历，有相关专业高级及以上专业技术职称资格</w:t>
      </w:r>
      <w:bookmarkEnd w:id="104"/>
      <w:bookmarkEnd w:id="105"/>
      <w:bookmarkEnd w:id="106"/>
      <w:bookmarkEnd w:id="107"/>
      <w:bookmarkEnd w:id="108"/>
      <w:r>
        <w:rPr>
          <w:rFonts w:hint="eastAsia" w:ascii="宋体" w:hAnsi="宋体" w:eastAsia="宋体"/>
        </w:rPr>
        <w:t>，可出具鉴定意见书，不得出具司法鉴定意见书。</w:t>
      </w:r>
      <w:bookmarkEnd w:id="109"/>
      <w:bookmarkEnd w:id="110"/>
    </w:p>
    <w:p>
      <w:pPr>
        <w:pStyle w:val="84"/>
        <w:spacing w:before="156" w:after="156"/>
        <w:ind w:left="0"/>
        <w:rPr>
          <w:rFonts w:hint="eastAsia"/>
        </w:rPr>
      </w:pPr>
      <w:bookmarkStart w:id="112" w:name="_Toc13526"/>
      <w:r>
        <w:rPr>
          <w:rFonts w:hint="eastAsia" w:ascii="宋体" w:hAnsi="宋体" w:eastAsia="宋体"/>
        </w:rPr>
        <w:t>微量物证司法鉴定机构和司法鉴定人应在核定的执业范围内开展司法鉴定工作，各专业领域与之相适应的司法鉴定能力和项目，可对应附录A。</w:t>
      </w:r>
      <w:bookmarkEnd w:id="111"/>
      <w:bookmarkEnd w:id="112"/>
    </w:p>
    <w:p>
      <w:pPr>
        <w:pStyle w:val="84"/>
        <w:spacing w:before="156" w:after="156"/>
        <w:ind w:left="0"/>
        <w:rPr>
          <w:rFonts w:hint="eastAsia"/>
        </w:rPr>
      </w:pPr>
      <w:bookmarkStart w:id="113" w:name="_Toc32299"/>
      <w:bookmarkStart w:id="114" w:name="_Toc132642690"/>
      <w:bookmarkStart w:id="115" w:name="_Toc81493129"/>
      <w:bookmarkStart w:id="116" w:name="_Toc131621939"/>
      <w:bookmarkStart w:id="117" w:name="_Toc81573572"/>
      <w:bookmarkStart w:id="118" w:name="_Toc91698681"/>
      <w:bookmarkStart w:id="119" w:name="_Toc91698874"/>
      <w:r>
        <w:rPr>
          <w:rFonts w:hint="eastAsia" w:ascii="宋体" w:hAnsi="宋体" w:eastAsia="宋体"/>
        </w:rPr>
        <w:t>当有组织相关项目的能力验证活动时，司法鉴定机构执业许可的鉴定项目应每三年至少参加一次能力验证活动。当某鉴定项目的能力验证结果超出预期确定的判据时，机构应暂停该鉴定项目的委托受理，立即查找原因，对相应项目进行风险评估，采取有效纠正措施进行整改并验证有效，方可自行恢复委托受理，防止出具不正确的鉴定结果。当同一鉴定项目在司法鉴定许可资质有效期内连续两次能力验证超出预期确定的判据时，应上报司法鉴定资质许可部门整改验证。</w:t>
      </w:r>
      <w:bookmarkEnd w:id="113"/>
    </w:p>
    <w:p>
      <w:pPr>
        <w:pStyle w:val="84"/>
        <w:spacing w:before="156" w:after="156"/>
        <w:ind w:left="0"/>
        <w:rPr>
          <w:rFonts w:hint="eastAsia"/>
        </w:rPr>
      </w:pPr>
      <w:bookmarkStart w:id="120" w:name="_Toc30276"/>
      <w:r>
        <w:rPr>
          <w:rFonts w:hint="eastAsia" w:ascii="宋体" w:hAnsi="宋体" w:eastAsia="宋体"/>
        </w:rPr>
        <w:t>每一项鉴定委托都必须由至少两名司法鉴定人实施，且司法鉴定人必须具有良好的职业道德和职业操守，能严格遵守司法鉴定的法律、法规和有关规章制度。</w:t>
      </w:r>
      <w:bookmarkEnd w:id="114"/>
      <w:bookmarkEnd w:id="115"/>
      <w:bookmarkEnd w:id="116"/>
      <w:bookmarkEnd w:id="117"/>
      <w:bookmarkEnd w:id="118"/>
      <w:bookmarkEnd w:id="119"/>
      <w:bookmarkEnd w:id="120"/>
    </w:p>
    <w:p>
      <w:pPr>
        <w:pStyle w:val="84"/>
        <w:spacing w:before="156" w:after="156"/>
        <w:ind w:left="0"/>
        <w:rPr>
          <w:rFonts w:hint="eastAsia" w:ascii="宋体" w:hAnsi="宋体" w:eastAsia="宋体"/>
        </w:rPr>
      </w:pPr>
      <w:bookmarkStart w:id="121" w:name="_Toc23773"/>
      <w:r>
        <w:rPr>
          <w:rFonts w:hint="eastAsia" w:ascii="宋体" w:hAnsi="宋体" w:eastAsia="宋体"/>
        </w:rPr>
        <w:t>司法鉴定机构应对在鉴定活动中获得或产生的所有信息承担管理责任，应作出具有法律效力的承诺，应对鉴定活动中获得或产生的所有信息保密。</w:t>
      </w:r>
      <w:bookmarkEnd w:id="121"/>
    </w:p>
    <w:p>
      <w:pPr>
        <w:pStyle w:val="83"/>
        <w:spacing w:before="312" w:after="312"/>
        <w:rPr>
          <w:rFonts w:hint="eastAsia"/>
        </w:rPr>
      </w:pPr>
      <w:bookmarkStart w:id="122" w:name="_Toc131621940"/>
      <w:bookmarkStart w:id="123" w:name="_Toc132642747"/>
      <w:bookmarkStart w:id="124" w:name="_Toc132642691"/>
      <w:bookmarkStart w:id="125" w:name="_Toc81573573"/>
      <w:bookmarkStart w:id="126" w:name="_Toc6868"/>
      <w:bookmarkStart w:id="127" w:name="_Toc15516"/>
      <w:bookmarkStart w:id="128" w:name="_Toc91698875"/>
      <w:bookmarkStart w:id="129" w:name="_Toc15686"/>
      <w:r>
        <w:rPr>
          <w:rFonts w:hint="eastAsia"/>
        </w:rPr>
        <w:t>鉴定工作流程</w:t>
      </w:r>
      <w:bookmarkEnd w:id="122"/>
      <w:bookmarkEnd w:id="123"/>
      <w:bookmarkEnd w:id="124"/>
      <w:bookmarkEnd w:id="125"/>
      <w:bookmarkEnd w:id="126"/>
      <w:bookmarkEnd w:id="127"/>
      <w:bookmarkEnd w:id="128"/>
      <w:bookmarkEnd w:id="129"/>
    </w:p>
    <w:p>
      <w:pPr>
        <w:pStyle w:val="40"/>
        <w:ind w:firstLine="420"/>
        <w:rPr>
          <w:rFonts w:hint="eastAsia" w:hAnsi="宋体" w:cs="黑体"/>
        </w:rPr>
      </w:pPr>
      <w:r>
        <w:rPr>
          <w:rFonts w:hint="eastAsia" w:hAnsi="宋体" w:cs="黑体"/>
        </w:rPr>
        <w:t>微量物证司法鉴定工作包括：受理、鉴定、归档等流程，详见图</w:t>
      </w:r>
      <w:r>
        <w:rPr>
          <w:rFonts w:hAnsi="宋体" w:cs="黑体"/>
        </w:rPr>
        <w:t>1</w:t>
      </w:r>
      <w:r>
        <w:rPr>
          <w:rFonts w:hint="eastAsia" w:hAnsi="宋体" w:cs="黑体"/>
        </w:rPr>
        <w:t>微量物证司法鉴定工作流程示意图。</w:t>
      </w:r>
    </w:p>
    <w:p>
      <w:pPr>
        <w:pStyle w:val="83"/>
        <w:spacing w:before="312" w:after="312"/>
        <w:rPr>
          <w:rFonts w:hint="eastAsia"/>
        </w:rPr>
      </w:pPr>
      <w:bookmarkStart w:id="130" w:name="_Toc81573574"/>
      <w:bookmarkStart w:id="131" w:name="_Toc12479"/>
      <w:bookmarkStart w:id="132" w:name="_Toc131621941"/>
      <w:bookmarkStart w:id="133" w:name="_Toc91698876"/>
      <w:bookmarkStart w:id="134" w:name="_Toc132642693"/>
      <w:bookmarkStart w:id="135" w:name="_Toc132642749"/>
      <w:bookmarkStart w:id="136" w:name="_Toc12379"/>
      <w:bookmarkStart w:id="137" w:name="_Toc29285"/>
      <w:r>
        <w:rPr>
          <w:rFonts w:hint="eastAsia"/>
        </w:rPr>
        <w:t>委托接收与受理</w:t>
      </w:r>
      <w:bookmarkEnd w:id="130"/>
      <w:bookmarkEnd w:id="131"/>
      <w:bookmarkEnd w:id="132"/>
      <w:bookmarkEnd w:id="133"/>
      <w:bookmarkEnd w:id="134"/>
      <w:bookmarkEnd w:id="135"/>
      <w:bookmarkEnd w:id="136"/>
      <w:bookmarkEnd w:id="137"/>
    </w:p>
    <w:p>
      <w:pPr>
        <w:pStyle w:val="84"/>
        <w:spacing w:before="156" w:after="156"/>
        <w:ind w:left="0"/>
        <w:rPr>
          <w:rFonts w:hint="eastAsia"/>
        </w:rPr>
      </w:pPr>
      <w:bookmarkStart w:id="138" w:name="_Toc21364"/>
      <w:r>
        <w:rPr>
          <w:rFonts w:hint="eastAsia"/>
        </w:rPr>
        <w:t>登记及录入</w:t>
      </w:r>
      <w:bookmarkEnd w:id="138"/>
    </w:p>
    <w:p>
      <w:pPr>
        <w:pStyle w:val="49"/>
        <w:spacing w:before="156" w:after="156"/>
        <w:ind w:left="0"/>
        <w:rPr>
          <w:rFonts w:hint="eastAsia" w:ascii="宋体" w:hAnsi="宋体" w:eastAsia="宋体"/>
        </w:rPr>
      </w:pPr>
      <w:bookmarkStart w:id="139" w:name="_Toc2386"/>
      <w:r>
        <w:rPr>
          <w:rFonts w:hint="eastAsia" w:ascii="宋体" w:hAnsi="宋体" w:eastAsia="宋体"/>
        </w:rPr>
        <w:t>司法鉴定机构应在委托人提供了委托鉴定信函等相关手续，并出示能证明其身份的有效证件的前提下，启动鉴定受理程序。</w:t>
      </w:r>
      <w:bookmarkEnd w:id="139"/>
    </w:p>
    <w:p>
      <w:pPr>
        <w:pStyle w:val="49"/>
        <w:spacing w:before="156" w:after="156"/>
        <w:ind w:left="0"/>
        <w:rPr>
          <w:rFonts w:hint="eastAsia" w:ascii="宋体" w:hAnsi="宋体" w:eastAsia="宋体"/>
        </w:rPr>
      </w:pPr>
      <w:bookmarkStart w:id="140" w:name="_Toc27563"/>
      <w:r>
        <w:rPr>
          <w:rFonts w:hint="eastAsia" w:ascii="宋体" w:hAnsi="宋体" w:eastAsia="宋体"/>
        </w:rPr>
        <w:t>司法鉴定机构在收到司法鉴定委托后，专门人员应对案件的基本信息和相关资料进行登记，并应对委托鉴定事项、鉴定材料、是否重新鉴定等信息进行受理前的初步核查，查验鉴定材料的名称、种类、数量、原/复印件、收到时间，核对鉴定材料的性状和保存状况，约定剩余送检材料的处置方式，以及对送检材料进行有损检测的，应征得委托人同意的告知承诺。</w:t>
      </w:r>
      <w:bookmarkEnd w:id="140"/>
    </w:p>
    <w:p>
      <w:pPr>
        <w:pStyle w:val="49"/>
        <w:spacing w:before="156" w:after="156"/>
        <w:ind w:left="0"/>
        <w:rPr>
          <w:rFonts w:hint="eastAsia" w:ascii="宋体" w:hAnsi="宋体" w:eastAsia="宋体"/>
        </w:rPr>
      </w:pPr>
      <w:bookmarkStart w:id="141" w:name="_Toc21623"/>
      <w:r>
        <w:rPr>
          <w:rFonts w:hint="eastAsia" w:ascii="宋体" w:hAnsi="宋体" w:eastAsia="宋体"/>
        </w:rPr>
        <w:t>专门人员应将案件委托信息、审批过程同步录入省司法厅《司法鉴定业务系统》。</w:t>
      </w:r>
      <w:bookmarkEnd w:id="141"/>
    </w:p>
    <w:p>
      <w:pPr>
        <w:pStyle w:val="84"/>
        <w:spacing w:before="156" w:after="156"/>
        <w:ind w:left="0"/>
        <w:rPr>
          <w:rFonts w:hint="eastAsia"/>
        </w:rPr>
      </w:pPr>
      <w:bookmarkStart w:id="142" w:name="_Toc22398"/>
      <w:r>
        <w:rPr>
          <w:rFonts w:hint="eastAsia"/>
        </w:rPr>
        <w:t>受理前评审</w:t>
      </w:r>
      <w:bookmarkEnd w:id="142"/>
    </w:p>
    <w:p>
      <w:pPr>
        <w:pStyle w:val="49"/>
        <w:spacing w:before="156" w:after="156"/>
        <w:ind w:left="0"/>
        <w:rPr>
          <w:rFonts w:hint="eastAsia" w:ascii="宋体" w:hAnsi="宋体" w:eastAsia="宋体"/>
        </w:rPr>
      </w:pPr>
      <w:bookmarkStart w:id="143" w:name="_Toc3923"/>
      <w:r>
        <w:rPr>
          <w:rFonts w:hint="eastAsia" w:ascii="宋体" w:hAnsi="宋体" w:eastAsia="宋体"/>
        </w:rPr>
        <w:t>司法鉴定机构对委托事项的发生和起因、鉴定目的、历次鉴定、检材和样本的来源及发现、提取、封装、数量、状态、标识等情况进行初审并签署意见，明确是否受理或是否需要进行受理前调查才能确定是否受理。</w:t>
      </w:r>
      <w:bookmarkEnd w:id="143"/>
    </w:p>
    <w:p>
      <w:pPr>
        <w:pStyle w:val="49"/>
        <w:spacing w:before="156" w:after="156"/>
        <w:ind w:left="0"/>
        <w:rPr>
          <w:rFonts w:hint="eastAsia" w:ascii="宋体" w:hAnsi="宋体" w:eastAsia="宋体"/>
        </w:rPr>
      </w:pPr>
      <w:bookmarkStart w:id="144" w:name="_Toc31109"/>
      <w:r>
        <w:rPr>
          <w:rFonts w:hint="eastAsia" w:ascii="宋体" w:hAnsi="宋体" w:eastAsia="宋体"/>
        </w:rPr>
        <w:t>需要进行受理前调查实地查看的案件，司法鉴定机构在收取实地查看费用后，提请委托人组织实地查看。司法鉴定机构根据受理前调查情况确认是否满足受理条件。</w:t>
      </w:r>
      <w:bookmarkEnd w:id="144"/>
    </w:p>
    <w:p>
      <w:pPr>
        <w:pStyle w:val="49"/>
        <w:spacing w:before="156" w:after="156"/>
        <w:ind w:left="0"/>
        <w:rPr>
          <w:rFonts w:hint="eastAsia" w:ascii="宋体" w:hAnsi="宋体" w:eastAsia="宋体"/>
        </w:rPr>
      </w:pPr>
      <w:bookmarkStart w:id="145" w:name="_Toc18573"/>
      <w:r>
        <w:rPr>
          <w:rFonts w:hint="eastAsia" w:ascii="宋体" w:hAnsi="宋体" w:eastAsia="宋体"/>
        </w:rPr>
        <w:t>受理前调查的实地查看应记录查看时间、地点、司法鉴定人、委托人、调查经过与事实。调查记录应由到场的各方经办人、当事人签字或盖章，同时应采取拍照、摄像等方式保留现场影像资料。</w:t>
      </w:r>
      <w:bookmarkEnd w:id="145"/>
    </w:p>
    <w:p>
      <w:pPr>
        <w:pStyle w:val="49"/>
        <w:spacing w:before="156" w:after="156"/>
        <w:ind w:left="0"/>
        <w:rPr>
          <w:rFonts w:hint="eastAsia" w:ascii="宋体" w:hAnsi="宋体" w:eastAsia="宋体"/>
        </w:rPr>
      </w:pPr>
      <w:bookmarkStart w:id="146" w:name="_Toc10894"/>
      <w:r>
        <w:rPr>
          <w:rFonts w:hint="eastAsia" w:ascii="宋体" w:hAnsi="宋体" w:eastAsia="宋体"/>
        </w:rPr>
        <w:t>司法鉴定机构必须指定至少两名司法鉴定机构的工作人员参加实地查看工作，其中至少一名为该鉴定事项的司法鉴定人。</w:t>
      </w:r>
      <w:bookmarkEnd w:id="146"/>
    </w:p>
    <w:p>
      <w:pPr>
        <w:pStyle w:val="49"/>
        <w:spacing w:before="156" w:after="156"/>
        <w:ind w:left="0"/>
        <w:rPr>
          <w:rFonts w:ascii="宋体" w:hAnsi="宋体" w:eastAsia="宋体"/>
        </w:rPr>
      </w:pPr>
      <w:bookmarkStart w:id="147" w:name="_Toc28528"/>
      <w:r>
        <w:rPr>
          <w:rFonts w:hint="eastAsia" w:ascii="宋体" w:hAnsi="宋体" w:eastAsia="宋体"/>
        </w:rPr>
        <w:t>重点调查的内容应包含：是否为重新鉴定，是否进行过诉前鉴定，诉讼双方争议点，委托鉴定事项、鉴定范围是否明确，涉案项目的现状，材料是否齐全，现场是否具备鉴定工作条件等内容。</w:t>
      </w:r>
      <w:bookmarkEnd w:id="147"/>
    </w:p>
    <w:p>
      <w:pPr>
        <w:pStyle w:val="49"/>
        <w:spacing w:before="156" w:after="156"/>
        <w:ind w:left="0"/>
        <w:rPr>
          <w:rFonts w:hint="eastAsia" w:ascii="宋体" w:hAnsi="宋体" w:eastAsia="宋体"/>
        </w:rPr>
      </w:pPr>
      <w:bookmarkStart w:id="148" w:name="_Toc6023"/>
      <w:r>
        <w:rPr>
          <w:rFonts w:hint="eastAsia" w:ascii="宋体" w:hAnsi="宋体" w:eastAsia="宋体"/>
        </w:rPr>
        <w:t>司法鉴定机构在受理重新鉴定委托时，机构资质应当不低于原司法鉴定机构，进行重新鉴定的司法鉴定人中应当至少有一名具有相关专业高级专业技术职称。原司法鉴定机构受理重新鉴定时，应指定原司法鉴定人以外的其他符合条件的司法鉴定人进行。</w:t>
      </w:r>
      <w:bookmarkEnd w:id="148"/>
    </w:p>
    <w:p>
      <w:pPr>
        <w:pStyle w:val="49"/>
        <w:spacing w:before="156" w:after="156"/>
        <w:ind w:left="0"/>
        <w:rPr>
          <w:rFonts w:hint="eastAsia" w:ascii="宋体" w:hAnsi="宋体" w:eastAsia="宋体"/>
        </w:rPr>
      </w:pPr>
      <w:bookmarkStart w:id="149" w:name="_Toc21698"/>
      <w:r>
        <w:rPr>
          <w:rFonts w:hint="eastAsia" w:ascii="宋体" w:hAnsi="宋体" w:eastAsia="宋体"/>
        </w:rPr>
        <w:t>当司法鉴定事项需要外部提供支持服务时，应经委托人确认。司法鉴定机构应确保外部提供的产品和服务的适用性，应制定外部支持服务评价程序。对于取样、结果/数据分析、结果判断和鉴定意见形成等工作，司法鉴定机构不得使用外部提供的服务。</w:t>
      </w:r>
      <w:bookmarkEnd w:id="149"/>
    </w:p>
    <w:p>
      <w:pPr>
        <w:pStyle w:val="156"/>
        <w:rPr>
          <w:rFonts w:hint="eastAsia"/>
        </w:rPr>
      </w:pPr>
      <w:r>
        <w:rPr>
          <w:rFonts w:hint="eastAsia"/>
        </w:rPr>
        <w:t>有下列情况时使用外部提供的鉴定活动：</w:t>
      </w:r>
    </w:p>
    <w:p>
      <w:pPr>
        <w:pStyle w:val="40"/>
        <w:ind w:firstLine="720" w:firstLineChars="400"/>
        <w:rPr>
          <w:rFonts w:hint="eastAsia" w:hAnsi="宋体"/>
          <w:sz w:val="18"/>
          <w:szCs w:val="18"/>
        </w:rPr>
      </w:pPr>
      <w:r>
        <w:rPr>
          <w:rFonts w:hint="eastAsia" w:hAnsi="宋体"/>
          <w:sz w:val="18"/>
          <w:szCs w:val="18"/>
        </w:rPr>
        <w:t>──司法鉴定机构有开展活动的资源和能力，但发生由于不可预见的原因而不能承担部分或</w:t>
      </w:r>
      <w:r>
        <w:rPr>
          <w:rFonts w:hint="eastAsia" w:hAnsi="宋体"/>
          <w:color w:val="FF0000"/>
          <w:sz w:val="18"/>
          <w:szCs w:val="18"/>
        </w:rPr>
        <w:t>全部</w:t>
      </w:r>
      <w:r>
        <w:rPr>
          <w:rFonts w:hint="eastAsia" w:hAnsi="宋体"/>
          <w:sz w:val="18"/>
          <w:szCs w:val="18"/>
        </w:rPr>
        <w:t>活动；</w:t>
      </w:r>
    </w:p>
    <w:p>
      <w:pPr>
        <w:pStyle w:val="40"/>
        <w:ind w:firstLine="720" w:firstLineChars="400"/>
        <w:rPr>
          <w:rFonts w:hint="eastAsia" w:hAnsi="宋体"/>
          <w:sz w:val="18"/>
          <w:szCs w:val="18"/>
        </w:rPr>
      </w:pPr>
      <w:r>
        <w:rPr>
          <w:rFonts w:hint="eastAsia" w:hAnsi="宋体"/>
          <w:sz w:val="18"/>
          <w:szCs w:val="18"/>
        </w:rPr>
        <w:t>──委托事项中部分检测鉴定内容超出司法鉴定机构的能力或资源范围。</w:t>
      </w:r>
    </w:p>
    <w:p>
      <w:pPr>
        <w:pStyle w:val="49"/>
        <w:spacing w:before="156" w:after="156"/>
        <w:ind w:left="0"/>
        <w:rPr>
          <w:rFonts w:hint="eastAsia" w:ascii="宋体" w:hAnsi="宋体" w:eastAsia="宋体"/>
        </w:rPr>
      </w:pPr>
      <w:bookmarkStart w:id="150" w:name="_Toc28545"/>
      <w:r>
        <w:rPr>
          <w:rFonts w:hint="eastAsia" w:ascii="宋体" w:hAnsi="宋体" w:eastAsia="宋体"/>
        </w:rPr>
        <w:t>完成评审过程后，案件受理审批表应报送机构负责人审签。</w:t>
      </w:r>
      <w:bookmarkEnd w:id="150"/>
    </w:p>
    <w:p>
      <w:pPr>
        <w:pStyle w:val="49"/>
        <w:spacing w:before="156" w:after="156"/>
        <w:ind w:left="0"/>
        <w:rPr>
          <w:rFonts w:hint="eastAsia" w:ascii="宋体" w:hAnsi="宋体" w:eastAsia="宋体"/>
        </w:rPr>
      </w:pPr>
      <w:bookmarkStart w:id="151" w:name="_Toc3875"/>
      <w:r>
        <w:rPr>
          <w:rFonts w:hint="eastAsia" w:ascii="宋体" w:hAnsi="宋体" w:eastAsia="宋体"/>
        </w:rPr>
        <w:t>鉴定工作开始后如果需要变更受理的委托书，应重新进行委托受理评审，并将所有变更内容通知相关人员。</w:t>
      </w:r>
      <w:bookmarkEnd w:id="151"/>
    </w:p>
    <w:p>
      <w:pPr>
        <w:pStyle w:val="84"/>
        <w:spacing w:before="156" w:after="156"/>
        <w:ind w:left="2"/>
        <w:rPr>
          <w:rFonts w:hint="eastAsia"/>
        </w:rPr>
      </w:pPr>
      <w:bookmarkStart w:id="152" w:name="_Toc131621944"/>
      <w:bookmarkStart w:id="153" w:name="_Toc132642696"/>
      <w:bookmarkStart w:id="154" w:name="_Toc27406"/>
      <w:r>
        <w:rPr>
          <w:rFonts w:hint="eastAsia"/>
        </w:rPr>
        <w:t>回避</w:t>
      </w:r>
      <w:bookmarkEnd w:id="152"/>
      <w:bookmarkEnd w:id="153"/>
      <w:bookmarkEnd w:id="154"/>
    </w:p>
    <w:p>
      <w:pPr>
        <w:pStyle w:val="49"/>
        <w:spacing w:before="156" w:after="156"/>
        <w:ind w:left="0"/>
      </w:pPr>
      <w:bookmarkStart w:id="155" w:name="_Toc18315"/>
      <w:r>
        <w:rPr>
          <w:rFonts w:hint="eastAsia" w:ascii="宋体" w:hAnsi="宋体" w:eastAsia="宋体"/>
        </w:rPr>
        <w:t>具有下列情形之一的司法鉴定委托，应当主动回避：</w:t>
      </w:r>
      <w:bookmarkEnd w:id="155"/>
    </w:p>
    <w:p>
      <w:pPr>
        <w:pStyle w:val="151"/>
        <w:numPr>
          <w:ilvl w:val="0"/>
          <w:numId w:val="32"/>
        </w:numPr>
        <w:ind w:left="850" w:hanging="425"/>
        <w:rPr>
          <w:rFonts w:hint="eastAsia"/>
        </w:rPr>
      </w:pPr>
      <w:r>
        <w:rPr>
          <w:rFonts w:hint="eastAsia"/>
        </w:rPr>
        <w:t>司法鉴定人、取样人员等司法鉴定实施人员或近亲属与诉讼当事人、诉讼代理人，或者当事人、诉讼代理人的近亲属、鉴定事项涉及的案件有利害关系，可能影响其独立、客观、公正进行鉴定的</w:t>
      </w:r>
    </w:p>
    <w:p>
      <w:pPr>
        <w:pStyle w:val="151"/>
        <w:ind w:left="850" w:hanging="425"/>
        <w:rPr>
          <w:rFonts w:hint="eastAsia"/>
        </w:rPr>
      </w:pPr>
      <w:r>
        <w:rPr>
          <w:rFonts w:hint="eastAsia"/>
        </w:rPr>
        <w:t>司法鉴定人曾经参加过同一鉴定事项鉴定的，或者曾经作为专家提供过咨询意见的，或者曾被聘请为有专门知识的人参与过同一鉴定事项法庭质证的；</w:t>
      </w:r>
    </w:p>
    <w:p>
      <w:pPr>
        <w:pStyle w:val="151"/>
        <w:ind w:left="850" w:hanging="425"/>
        <w:rPr>
          <w:rFonts w:hint="eastAsia"/>
        </w:rPr>
      </w:pPr>
      <w:r>
        <w:rPr>
          <w:rFonts w:hint="eastAsia"/>
        </w:rPr>
        <w:t>司法鉴定人存在其他可能影响司法鉴定公正性的。</w:t>
      </w:r>
    </w:p>
    <w:p>
      <w:pPr>
        <w:pStyle w:val="49"/>
        <w:spacing w:before="156" w:after="156"/>
        <w:ind w:left="0"/>
        <w:rPr>
          <w:rFonts w:hint="eastAsia" w:ascii="宋体" w:hAnsi="宋体" w:eastAsia="宋体"/>
        </w:rPr>
      </w:pPr>
      <w:bookmarkStart w:id="156" w:name="_Toc16199"/>
      <w:r>
        <w:rPr>
          <w:rFonts w:hint="eastAsia" w:ascii="宋体" w:hAnsi="宋体" w:eastAsia="宋体"/>
        </w:rPr>
        <w:t>司法鉴定人、取样人员等司法鉴定实施人员主动向司法鉴定机构提出回避申请，司法鉴定机构应根据实际情况作出是否需要回避的决定。</w:t>
      </w:r>
      <w:bookmarkEnd w:id="156"/>
    </w:p>
    <w:p>
      <w:pPr>
        <w:pStyle w:val="49"/>
        <w:spacing w:before="156" w:after="156"/>
        <w:ind w:left="0"/>
      </w:pPr>
      <w:bookmarkStart w:id="157" w:name="_Toc22184"/>
      <w:r>
        <w:rPr>
          <w:rFonts w:hint="eastAsia" w:ascii="宋体" w:hAnsi="宋体" w:eastAsia="宋体"/>
        </w:rPr>
        <w:t>委托人向司法鉴定机构提出回避要求的，应说明理由，司法鉴定机构进行核实后作出是否需要回避的决定。</w:t>
      </w:r>
      <w:bookmarkEnd w:id="157"/>
    </w:p>
    <w:p>
      <w:pPr>
        <w:pStyle w:val="84"/>
        <w:spacing w:before="156" w:after="156"/>
        <w:ind w:left="2"/>
        <w:rPr>
          <w:rFonts w:hint="eastAsia" w:hAnsi="黑体" w:cs="黑体"/>
        </w:rPr>
      </w:pPr>
      <w:bookmarkStart w:id="158" w:name="_Toc91698686"/>
      <w:bookmarkStart w:id="159" w:name="_Toc25144"/>
      <w:bookmarkStart w:id="160" w:name="_Toc81573577"/>
      <w:bookmarkStart w:id="161" w:name="_Toc131621945"/>
      <w:bookmarkStart w:id="162" w:name="_Toc91698879"/>
      <w:bookmarkStart w:id="163" w:name="_Toc132642697"/>
      <w:r>
        <w:rPr>
          <w:rFonts w:hint="eastAsia" w:hAnsi="黑体" w:cs="黑体"/>
        </w:rPr>
        <w:t>受理期限</w:t>
      </w:r>
      <w:bookmarkEnd w:id="158"/>
      <w:bookmarkEnd w:id="159"/>
      <w:bookmarkEnd w:id="160"/>
      <w:bookmarkEnd w:id="161"/>
      <w:bookmarkEnd w:id="162"/>
      <w:bookmarkEnd w:id="163"/>
    </w:p>
    <w:p>
      <w:pPr>
        <w:pStyle w:val="49"/>
        <w:spacing w:before="156" w:after="156"/>
        <w:ind w:left="0"/>
        <w:rPr>
          <w:rFonts w:hint="eastAsia" w:ascii="宋体" w:hAnsi="宋体" w:eastAsia="宋体"/>
        </w:rPr>
      </w:pPr>
      <w:bookmarkStart w:id="164" w:name="_Toc8736"/>
      <w:r>
        <w:rPr>
          <w:rFonts w:hint="eastAsia" w:ascii="宋体" w:hAnsi="宋体" w:eastAsia="宋体"/>
        </w:rPr>
        <w:t>委托事项明确后，应在7个工作日内向委托人发出是否接受委托的信函，办理送检材料交接手续。需要进行受理前现场查看再确定是否受理的，应在收到受理前实地查看费后，与委托人约定现场查看时间，需要委托人提供补充鉴定材料的，应及时提交补充材料清单。</w:t>
      </w:r>
      <w:bookmarkEnd w:id="164"/>
    </w:p>
    <w:p>
      <w:pPr>
        <w:pStyle w:val="49"/>
        <w:spacing w:before="156" w:after="156"/>
        <w:ind w:left="0"/>
        <w:rPr>
          <w:rFonts w:hint="eastAsia" w:ascii="宋体" w:hAnsi="宋体" w:eastAsia="宋体"/>
        </w:rPr>
      </w:pPr>
      <w:bookmarkStart w:id="165" w:name="_Toc29580"/>
      <w:r>
        <w:rPr>
          <w:rFonts w:hint="eastAsia" w:ascii="宋体" w:hAnsi="宋体" w:eastAsia="宋体"/>
        </w:rPr>
        <w:t>复杂、疑难或特殊鉴定事项的委托，司法鉴定机构可与委托人协商受理的具体时间，应以信函方式进行联系。</w:t>
      </w:r>
      <w:bookmarkEnd w:id="165"/>
    </w:p>
    <w:p>
      <w:pPr>
        <w:pStyle w:val="84"/>
        <w:spacing w:before="156" w:after="156"/>
        <w:ind w:left="0"/>
        <w:rPr>
          <w:rFonts w:hint="eastAsia" w:hAnsi="黑体" w:cs="黑体"/>
        </w:rPr>
      </w:pPr>
      <w:bookmarkStart w:id="166" w:name="_Toc91698688"/>
      <w:bookmarkStart w:id="167" w:name="_Toc91698881"/>
      <w:bookmarkStart w:id="168" w:name="_Toc131621946"/>
      <w:bookmarkStart w:id="169" w:name="_Toc81573579"/>
      <w:bookmarkStart w:id="170" w:name="_Toc24846"/>
      <w:bookmarkStart w:id="171" w:name="_Toc81493137"/>
      <w:bookmarkStart w:id="172" w:name="_Toc132642698"/>
      <w:r>
        <w:rPr>
          <w:rFonts w:hint="eastAsia" w:hAnsi="黑体" w:cs="黑体"/>
        </w:rPr>
        <w:t>不予受理情况</w:t>
      </w:r>
      <w:bookmarkEnd w:id="166"/>
      <w:bookmarkEnd w:id="167"/>
      <w:bookmarkEnd w:id="168"/>
      <w:bookmarkEnd w:id="169"/>
      <w:bookmarkEnd w:id="170"/>
      <w:bookmarkEnd w:id="171"/>
      <w:bookmarkEnd w:id="172"/>
    </w:p>
    <w:p>
      <w:pPr>
        <w:pStyle w:val="40"/>
        <w:ind w:firstLine="420"/>
        <w:rPr>
          <w:rFonts w:hint="eastAsia"/>
        </w:rPr>
      </w:pPr>
      <w:r>
        <w:rPr>
          <w:rFonts w:hint="eastAsia"/>
        </w:rPr>
        <w:t>具有下列情形之一的司法鉴定委托，司法鉴定机构向委托方说明原因后可不予受理：</w:t>
      </w:r>
    </w:p>
    <w:p>
      <w:pPr>
        <w:pStyle w:val="151"/>
        <w:numPr>
          <w:ilvl w:val="0"/>
          <w:numId w:val="33"/>
        </w:numPr>
        <w:rPr>
          <w:rFonts w:hAnsi="宋体"/>
        </w:rPr>
      </w:pPr>
      <w:r>
        <w:rPr>
          <w:rFonts w:hint="eastAsia" w:hAnsi="宋体"/>
        </w:rPr>
        <w:t>检材/样本初步检查明显不具备鉴定条件或比对条件的；</w:t>
      </w:r>
    </w:p>
    <w:p>
      <w:pPr>
        <w:pStyle w:val="151"/>
        <w:shd w:val="clear" w:color="auto" w:fill="FFFFFF"/>
        <w:ind w:left="850" w:hanging="425"/>
        <w:rPr>
          <w:rFonts w:hint="eastAsia" w:hAnsi="宋体" w:cs="黑体"/>
        </w:rPr>
      </w:pPr>
      <w:r>
        <w:rPr>
          <w:rFonts w:hint="eastAsia" w:hAnsi="宋体" w:cs="黑体"/>
        </w:rPr>
        <w:t>检材/样本来源不明的；</w:t>
      </w:r>
    </w:p>
    <w:p>
      <w:pPr>
        <w:pStyle w:val="151"/>
        <w:shd w:val="clear" w:color="auto" w:fill="FFFFFF"/>
        <w:ind w:left="850" w:hanging="425"/>
        <w:rPr>
          <w:rFonts w:hint="eastAsia" w:hAnsi="宋体" w:cs="黑体"/>
        </w:rPr>
      </w:pPr>
      <w:r>
        <w:rPr>
          <w:rFonts w:hint="eastAsia" w:hAnsi="宋体" w:cs="黑体"/>
        </w:rPr>
        <w:t>鉴定要求不明确的；</w:t>
      </w:r>
    </w:p>
    <w:p>
      <w:pPr>
        <w:pStyle w:val="151"/>
        <w:shd w:val="clear" w:color="auto" w:fill="FFFFFF"/>
        <w:ind w:left="850" w:hanging="425"/>
        <w:rPr>
          <w:rFonts w:hint="eastAsia" w:hAnsi="宋体" w:cs="黑体"/>
        </w:rPr>
      </w:pPr>
      <w:r>
        <w:rPr>
          <w:rFonts w:hint="eastAsia" w:hAnsi="宋体" w:cs="黑体"/>
        </w:rPr>
        <w:t>委托方故意隐瞒有关重要案情的；</w:t>
      </w:r>
    </w:p>
    <w:p>
      <w:pPr>
        <w:pStyle w:val="151"/>
        <w:shd w:val="clear" w:color="auto" w:fill="FFFFFF"/>
        <w:ind w:left="850" w:hanging="425"/>
        <w:rPr>
          <w:rFonts w:hint="eastAsia" w:hAnsi="宋体" w:cs="黑体"/>
        </w:rPr>
      </w:pPr>
      <w:r>
        <w:rPr>
          <w:rFonts w:hint="eastAsia" w:hAnsi="宋体" w:cs="黑体"/>
        </w:rPr>
        <w:t>在委托方要求的时效内不能完成鉴定的；</w:t>
      </w:r>
    </w:p>
    <w:p>
      <w:pPr>
        <w:pStyle w:val="151"/>
        <w:ind w:left="850" w:hanging="425"/>
        <w:rPr>
          <w:rFonts w:hint="eastAsia" w:hAnsi="宋体"/>
        </w:rPr>
      </w:pPr>
      <w:r>
        <w:rPr>
          <w:rFonts w:hint="eastAsia" w:hAnsi="宋体"/>
        </w:rPr>
        <w:t>经受理前实地查看不能满足受理条件的；</w:t>
      </w:r>
    </w:p>
    <w:p>
      <w:pPr>
        <w:pStyle w:val="151"/>
        <w:ind w:left="850" w:hanging="425"/>
        <w:rPr>
          <w:rFonts w:hint="eastAsia" w:hAnsi="宋体"/>
        </w:rPr>
      </w:pPr>
      <w:r>
        <w:rPr>
          <w:rFonts w:hint="eastAsia" w:hAnsi="宋体"/>
        </w:rPr>
        <w:t>委托鉴定事项超出本机构司法鉴定</w:t>
      </w:r>
      <w:r>
        <w:rPr>
          <w:rFonts w:hint="eastAsia" w:hAnsi="宋体"/>
          <w:shd w:val="clear" w:color="auto" w:fill="FFFFFF"/>
        </w:rPr>
        <w:t>资源</w:t>
      </w:r>
      <w:r>
        <w:rPr>
          <w:rFonts w:hint="eastAsia" w:hAnsi="宋体"/>
        </w:rPr>
        <w:t>、能力的；</w:t>
      </w:r>
    </w:p>
    <w:p>
      <w:pPr>
        <w:pStyle w:val="151"/>
        <w:shd w:val="clear" w:color="auto" w:fill="FFFFFF"/>
        <w:ind w:left="850" w:hanging="425"/>
        <w:rPr>
          <w:rFonts w:hint="eastAsia" w:hAnsi="宋体"/>
        </w:rPr>
      </w:pPr>
      <w:r>
        <w:rPr>
          <w:rFonts w:hint="eastAsia" w:hAnsi="宋体"/>
          <w:shd w:val="clear" w:color="auto" w:fill="FFFFFF"/>
        </w:rPr>
        <w:t>鉴定要求不符合司法鉴定执业规则或者相关鉴定技术规范的；</w:t>
      </w:r>
    </w:p>
    <w:p>
      <w:pPr>
        <w:pStyle w:val="151"/>
        <w:ind w:left="850" w:hanging="425"/>
        <w:rPr>
          <w:rFonts w:hint="eastAsia" w:hAnsi="宋体"/>
        </w:rPr>
      </w:pPr>
      <w:r>
        <w:rPr>
          <w:rFonts w:hint="eastAsia" w:hAnsi="宋体"/>
        </w:rPr>
        <w:t>委托人就同一鉴定事项同时委托其他司法鉴定机构进行鉴定的；</w:t>
      </w:r>
    </w:p>
    <w:p>
      <w:pPr>
        <w:pStyle w:val="151"/>
        <w:ind w:left="850" w:hanging="425"/>
        <w:rPr>
          <w:rFonts w:hint="eastAsia"/>
        </w:rPr>
      </w:pPr>
      <w:r>
        <w:rPr>
          <w:rFonts w:hint="eastAsia" w:hAnsi="宋体"/>
        </w:rPr>
        <w:t>其他不符合法律、法规、规章规定的情形。</w:t>
      </w:r>
    </w:p>
    <w:p>
      <w:pPr>
        <w:pStyle w:val="84"/>
        <w:spacing w:before="156" w:after="156"/>
        <w:ind w:left="0"/>
        <w:rPr>
          <w:rFonts w:hint="eastAsia"/>
        </w:rPr>
      </w:pPr>
      <w:bookmarkStart w:id="173" w:name="_Toc29607"/>
      <w:r>
        <w:rPr>
          <w:rFonts w:hint="eastAsia"/>
        </w:rPr>
        <w:t>缴费</w:t>
      </w:r>
      <w:bookmarkEnd w:id="173"/>
    </w:p>
    <w:p>
      <w:pPr>
        <w:pStyle w:val="49"/>
        <w:spacing w:before="156" w:after="156"/>
        <w:ind w:left="0"/>
        <w:rPr>
          <w:rFonts w:hint="eastAsia" w:ascii="宋体" w:hAnsi="宋体" w:eastAsia="宋体"/>
        </w:rPr>
      </w:pPr>
      <w:bookmarkStart w:id="174" w:name="_Toc26926"/>
      <w:r>
        <w:rPr>
          <w:rFonts w:hint="eastAsia" w:ascii="宋体" w:hAnsi="宋体" w:eastAsia="宋体"/>
        </w:rPr>
        <w:t>司法鉴定机构进行实地查看前应按约定收取现场查看费。因司法鉴定机构自身原因导致委托鉴定不予受理的，该费用应退还。</w:t>
      </w:r>
      <w:bookmarkEnd w:id="174"/>
    </w:p>
    <w:p>
      <w:pPr>
        <w:pStyle w:val="49"/>
        <w:spacing w:before="156" w:after="156"/>
        <w:ind w:left="0"/>
        <w:rPr>
          <w:rFonts w:hint="eastAsia"/>
        </w:rPr>
      </w:pPr>
      <w:bookmarkStart w:id="175" w:name="_Toc1175"/>
      <w:r>
        <w:rPr>
          <w:rFonts w:hint="eastAsia" w:ascii="宋体" w:hAnsi="宋体" w:eastAsia="宋体"/>
          <w:kern w:val="2"/>
          <w:szCs w:val="21"/>
        </w:rPr>
        <w:t>受理后鉴定实施前应按约定收取司法鉴定费。待按要求缴费后，实施鉴定。终止鉴定的，可按实际完成工作量收取鉴定费用，其余鉴定费用按约定退还。</w:t>
      </w:r>
      <w:bookmarkEnd w:id="175"/>
    </w:p>
    <w:p>
      <w:pPr>
        <w:pStyle w:val="83"/>
        <w:spacing w:before="312" w:after="312"/>
        <w:rPr>
          <w:rFonts w:hint="eastAsia"/>
        </w:rPr>
      </w:pPr>
      <w:bookmarkStart w:id="176" w:name="_Toc81573582"/>
      <w:bookmarkStart w:id="177" w:name="_Toc132642750"/>
      <w:bookmarkStart w:id="178" w:name="_Toc91698884"/>
      <w:bookmarkStart w:id="179" w:name="_Toc5479"/>
      <w:bookmarkStart w:id="180" w:name="_Toc29327"/>
      <w:bookmarkStart w:id="181" w:name="_Toc22728"/>
      <w:bookmarkStart w:id="182" w:name="_Toc131621948"/>
      <w:bookmarkStart w:id="183" w:name="_Toc132642700"/>
      <w:r>
        <w:rPr>
          <w:rFonts w:hint="eastAsia"/>
        </w:rPr>
        <w:t>鉴定方案</w:t>
      </w:r>
      <w:bookmarkEnd w:id="176"/>
      <w:bookmarkEnd w:id="177"/>
      <w:bookmarkEnd w:id="178"/>
      <w:bookmarkEnd w:id="179"/>
      <w:bookmarkEnd w:id="180"/>
      <w:bookmarkEnd w:id="181"/>
      <w:bookmarkEnd w:id="182"/>
      <w:bookmarkEnd w:id="183"/>
    </w:p>
    <w:p>
      <w:pPr>
        <w:pStyle w:val="84"/>
        <w:spacing w:before="156" w:after="156"/>
        <w:ind w:left="0"/>
        <w:rPr>
          <w:rFonts w:hint="eastAsia" w:ascii="宋体" w:hAnsi="宋体" w:eastAsia="宋体"/>
        </w:rPr>
      </w:pPr>
      <w:bookmarkStart w:id="184" w:name="_Toc2945"/>
      <w:r>
        <w:rPr>
          <w:rFonts w:hint="eastAsia" w:ascii="宋体" w:hAnsi="宋体" w:eastAsia="宋体"/>
        </w:rPr>
        <w:t>司法鉴定人在实施鉴定前，需要时司法鉴定机构应根据委托鉴定事项、委托人提供的信息资料、受理前的调查情况等编制鉴定方案。鉴定方案应包括但不限于鉴定依据、鉴定工作内容、司法鉴定人员安排计划、鉴定时间安排计划等。</w:t>
      </w:r>
      <w:bookmarkEnd w:id="184"/>
    </w:p>
    <w:p>
      <w:pPr>
        <w:pStyle w:val="84"/>
        <w:spacing w:before="156" w:after="156"/>
        <w:ind w:left="0"/>
        <w:rPr>
          <w:rFonts w:hint="eastAsia" w:ascii="宋体" w:hAnsi="宋体" w:eastAsia="宋体"/>
        </w:rPr>
      </w:pPr>
      <w:bookmarkStart w:id="185" w:name="_Toc28108"/>
      <w:r>
        <w:rPr>
          <w:rFonts w:hint="eastAsia" w:ascii="宋体" w:hAnsi="宋体" w:eastAsia="宋体"/>
        </w:rPr>
        <w:t>鉴定方案应根据委托鉴定事项、案件实际情况选择适用的检验检测方法，当现行国家、行业、地方检验检测技术标准不适用或不能满足委托鉴定事项要求时，可以结合司法鉴定人的专业知识和技术认知、鉴定实践经验进行，但应当报请机构负责人审批并经委托人确认。</w:t>
      </w:r>
      <w:bookmarkEnd w:id="185"/>
    </w:p>
    <w:p>
      <w:pPr>
        <w:pStyle w:val="84"/>
        <w:spacing w:before="156" w:after="156"/>
        <w:ind w:left="0"/>
        <w:rPr>
          <w:rFonts w:hint="eastAsia" w:ascii="宋体" w:hAnsi="宋体" w:eastAsia="宋体"/>
        </w:rPr>
      </w:pPr>
      <w:bookmarkStart w:id="186" w:name="_Toc32370"/>
      <w:r>
        <w:rPr>
          <w:rFonts w:hint="eastAsia" w:ascii="宋体" w:hAnsi="宋体" w:eastAsia="宋体"/>
        </w:rPr>
        <w:t>当委托人要求针对鉴定结果作出与规范或标准的符合性判定时（如通过/未通过，在允许限内/超出允许限），应明确相关规范、标准和判定规则。</w:t>
      </w:r>
      <w:bookmarkEnd w:id="186"/>
    </w:p>
    <w:p>
      <w:pPr>
        <w:pStyle w:val="84"/>
        <w:spacing w:before="156" w:after="156"/>
        <w:ind w:left="0"/>
        <w:rPr>
          <w:rFonts w:hint="eastAsia" w:ascii="宋体" w:hAnsi="宋体" w:eastAsia="宋体"/>
        </w:rPr>
      </w:pPr>
      <w:bookmarkStart w:id="187" w:name="_Toc10525"/>
      <w:r>
        <w:rPr>
          <w:rFonts w:hint="eastAsia" w:ascii="宋体" w:hAnsi="宋体" w:eastAsia="宋体"/>
        </w:rPr>
        <w:t>鉴定方案是整个鉴定环节中司法鉴定机构与委托人就鉴定内容、方法、收费等约定的重要依据，不得省略或口头约定，应提交委托人进行确认。需要调整时，应经委托人重新确认。</w:t>
      </w:r>
      <w:bookmarkEnd w:id="187"/>
    </w:p>
    <w:p>
      <w:pPr>
        <w:pStyle w:val="84"/>
        <w:spacing w:before="156" w:after="156"/>
        <w:ind w:left="0"/>
        <w:rPr>
          <w:rFonts w:hint="eastAsia" w:ascii="宋体" w:hAnsi="宋体" w:eastAsia="宋体"/>
        </w:rPr>
      </w:pPr>
      <w:bookmarkStart w:id="188" w:name="_Toc18875"/>
      <w:r>
        <w:rPr>
          <w:rFonts w:hint="eastAsia" w:ascii="宋体" w:hAnsi="宋体" w:eastAsia="宋体"/>
        </w:rPr>
        <w:t>鉴定方案应采用合适的程序和约定的标准。司法鉴定工作所依据的方法若发生偏离时，应将该偏离形成文件或编写于方案中，并经技术判断、批准授权和委托人确认。</w:t>
      </w:r>
      <w:bookmarkEnd w:id="188"/>
    </w:p>
    <w:p>
      <w:pPr>
        <w:pStyle w:val="83"/>
        <w:spacing w:before="312" w:after="312"/>
        <w:rPr>
          <w:rFonts w:hint="eastAsia"/>
        </w:rPr>
      </w:pPr>
      <w:bookmarkStart w:id="189" w:name="_Toc132642704"/>
      <w:bookmarkStart w:id="190" w:name="_Toc19238"/>
      <w:bookmarkStart w:id="191" w:name="_Toc132642751"/>
      <w:bookmarkStart w:id="192" w:name="_Toc8881"/>
      <w:bookmarkStart w:id="193" w:name="_Toc21015"/>
      <w:r>
        <w:rPr>
          <w:rFonts w:hint="eastAsia"/>
        </w:rPr>
        <w:t>签订微量物证司法鉴定委托书</w:t>
      </w:r>
      <w:bookmarkEnd w:id="189"/>
      <w:bookmarkEnd w:id="190"/>
      <w:bookmarkEnd w:id="191"/>
      <w:bookmarkEnd w:id="192"/>
      <w:bookmarkEnd w:id="193"/>
      <w:bookmarkStart w:id="194" w:name="_Toc132642706"/>
      <w:bookmarkStart w:id="195" w:name="_Toc132642705"/>
    </w:p>
    <w:p>
      <w:pPr>
        <w:pStyle w:val="84"/>
        <w:spacing w:before="156" w:after="156"/>
        <w:ind w:left="0"/>
        <w:rPr>
          <w:rFonts w:hint="eastAsia" w:ascii="宋体" w:hAnsi="宋体" w:eastAsia="宋体"/>
        </w:rPr>
      </w:pPr>
      <w:bookmarkStart w:id="196" w:name="_Toc20811"/>
      <w:r>
        <w:rPr>
          <w:rFonts w:hint="eastAsia" w:ascii="宋体" w:hAnsi="宋体" w:eastAsia="宋体"/>
        </w:rPr>
        <w:t>司法鉴定机构应根据委托鉴定事项的实际工作量、疑难程度、地区差异等，协议约定相关需明确的条款，与委托人签订司法鉴定委托书，司法鉴定委托书需包含</w:t>
      </w:r>
      <w:r>
        <w:rPr>
          <w:rFonts w:hint="eastAsia" w:ascii="宋体" w:hAnsi="宋体" w:eastAsia="宋体"/>
          <w:shd w:val="clear" w:color="auto" w:fill="FFFFFF"/>
        </w:rPr>
        <w:t>司法鉴定告知书（参照附录B）。</w:t>
      </w:r>
      <w:bookmarkEnd w:id="194"/>
      <w:bookmarkEnd w:id="195"/>
      <w:bookmarkEnd w:id="196"/>
    </w:p>
    <w:p>
      <w:pPr>
        <w:pStyle w:val="84"/>
        <w:spacing w:before="156" w:after="156"/>
        <w:ind w:left="0"/>
        <w:rPr>
          <w:rFonts w:hint="eastAsia" w:ascii="宋体" w:hAnsi="宋体" w:eastAsia="宋体"/>
        </w:rPr>
      </w:pPr>
      <w:bookmarkStart w:id="197" w:name="_Toc6973"/>
      <w:r>
        <w:rPr>
          <w:rFonts w:hint="eastAsia" w:ascii="宋体" w:hAnsi="宋体" w:eastAsia="宋体"/>
        </w:rPr>
        <w:t>对鉴定材料不完整、鉴定事项不明确，不能满足鉴定需要的，司法鉴定机构可以要求委托人补充或进一步释明委托鉴定事项、要求、范围等。</w:t>
      </w:r>
      <w:bookmarkEnd w:id="197"/>
    </w:p>
    <w:p>
      <w:pPr>
        <w:pStyle w:val="83"/>
        <w:shd w:val="clear" w:color="auto" w:fill="FFFFFF"/>
        <w:spacing w:before="312" w:after="312"/>
        <w:rPr>
          <w:rFonts w:hint="eastAsia"/>
        </w:rPr>
      </w:pPr>
      <w:bookmarkStart w:id="198" w:name="_Toc30104"/>
      <w:bookmarkStart w:id="199" w:name="_Toc21939"/>
      <w:r>
        <w:rPr>
          <w:rFonts w:hint="eastAsia"/>
        </w:rPr>
        <w:t>检验检测原则</w:t>
      </w:r>
      <w:bookmarkEnd w:id="198"/>
      <w:bookmarkEnd w:id="199"/>
    </w:p>
    <w:p>
      <w:pPr>
        <w:pStyle w:val="40"/>
        <w:ind w:firstLine="420"/>
        <w:rPr>
          <w:rFonts w:hint="eastAsia"/>
        </w:rPr>
      </w:pPr>
      <w:r>
        <w:rPr>
          <w:rFonts w:hint="eastAsia"/>
        </w:rPr>
        <w:t>微量物证鉴定应按以下原则进行：</w:t>
      </w:r>
    </w:p>
    <w:p>
      <w:pPr>
        <w:pStyle w:val="151"/>
        <w:numPr>
          <w:ilvl w:val="0"/>
          <w:numId w:val="34"/>
        </w:numPr>
        <w:rPr>
          <w:rFonts w:hint="eastAsia"/>
        </w:rPr>
      </w:pPr>
      <w:r>
        <w:rPr>
          <w:rFonts w:hint="eastAsia"/>
        </w:rPr>
        <w:t>先宏观后微观；</w:t>
      </w:r>
    </w:p>
    <w:p>
      <w:pPr>
        <w:pStyle w:val="151"/>
        <w:rPr>
          <w:rFonts w:hint="eastAsia"/>
        </w:rPr>
      </w:pPr>
      <w:r>
        <w:rPr>
          <w:rFonts w:hint="eastAsia"/>
        </w:rPr>
        <w:t>先无损后有损；</w:t>
      </w:r>
    </w:p>
    <w:p>
      <w:pPr>
        <w:pStyle w:val="151"/>
        <w:rPr>
          <w:rFonts w:hint="eastAsia"/>
        </w:rPr>
      </w:pPr>
      <w:r>
        <w:rPr>
          <w:rFonts w:hint="eastAsia"/>
        </w:rPr>
        <w:t>先定性后定量；</w:t>
      </w:r>
    </w:p>
    <w:p>
      <w:pPr>
        <w:pStyle w:val="151"/>
        <w:rPr>
          <w:rFonts w:hint="eastAsia"/>
        </w:rPr>
      </w:pPr>
      <w:r>
        <w:rPr>
          <w:rFonts w:hint="eastAsia"/>
        </w:rPr>
        <w:t>必要时，应运用多种技术手段，以相互验证；</w:t>
      </w:r>
    </w:p>
    <w:p>
      <w:pPr>
        <w:pStyle w:val="151"/>
        <w:rPr>
          <w:rFonts w:hint="eastAsia"/>
        </w:rPr>
      </w:pPr>
      <w:r>
        <w:rPr>
          <w:rFonts w:hint="eastAsia"/>
        </w:rPr>
        <w:t>进行检验检测前应先将送检材料通过拍照等方法进行固定原貌；</w:t>
      </w:r>
    </w:p>
    <w:p>
      <w:pPr>
        <w:pStyle w:val="151"/>
        <w:rPr>
          <w:rFonts w:hint="eastAsia"/>
        </w:rPr>
      </w:pPr>
      <w:r>
        <w:rPr>
          <w:rFonts w:hint="eastAsia"/>
        </w:rPr>
        <w:t>根据送检材料的具体情况、检验方法进行取样，需要时图示说明取样位置;</w:t>
      </w:r>
    </w:p>
    <w:p>
      <w:pPr>
        <w:pStyle w:val="151"/>
        <w:rPr>
          <w:rFonts w:hint="eastAsia"/>
        </w:rPr>
      </w:pPr>
      <w:r>
        <w:rPr>
          <w:rFonts w:hint="eastAsia"/>
        </w:rPr>
        <w:t>进行有损检验时应尽量选用破坏性小、消耗少的方法:</w:t>
      </w:r>
    </w:p>
    <w:p>
      <w:pPr>
        <w:pStyle w:val="151"/>
        <w:rPr>
          <w:rFonts w:hint="eastAsia"/>
        </w:rPr>
      </w:pPr>
      <w:r>
        <w:rPr>
          <w:rFonts w:hint="eastAsia"/>
        </w:rPr>
        <w:t>在比较检验过程中，应保证检材和样本检验条件一致性;</w:t>
      </w:r>
    </w:p>
    <w:p>
      <w:pPr>
        <w:pStyle w:val="151"/>
        <w:rPr>
          <w:rFonts w:hint="eastAsia"/>
        </w:rPr>
      </w:pPr>
      <w:r>
        <w:rPr>
          <w:rFonts w:hint="eastAsia"/>
        </w:rPr>
        <w:t>在比较检验过程中，应根据送检材料情况，选择有代表性的多个部位进行检验检测，避免由于成分分布不均匀对结果产生影响。</w:t>
      </w:r>
    </w:p>
    <w:p>
      <w:pPr>
        <w:pStyle w:val="83"/>
        <w:spacing w:before="312" w:after="312"/>
        <w:rPr>
          <w:rFonts w:hint="eastAsia"/>
        </w:rPr>
      </w:pPr>
      <w:bookmarkStart w:id="200" w:name="_Toc20900"/>
      <w:bookmarkStart w:id="201" w:name="_Toc23931"/>
      <w:r>
        <w:rPr>
          <w:rFonts w:hint="eastAsia"/>
        </w:rPr>
        <w:t>现场勘查</w:t>
      </w:r>
      <w:bookmarkEnd w:id="200"/>
      <w:bookmarkEnd w:id="201"/>
    </w:p>
    <w:p>
      <w:pPr>
        <w:pStyle w:val="84"/>
        <w:spacing w:before="156" w:after="156"/>
        <w:ind w:left="0"/>
        <w:rPr>
          <w:rFonts w:ascii="宋体" w:hAnsi="宋体" w:eastAsia="宋体"/>
        </w:rPr>
      </w:pPr>
      <w:bookmarkStart w:id="202" w:name="_Toc131621954"/>
      <w:bookmarkStart w:id="203" w:name="_Toc282"/>
      <w:bookmarkStart w:id="204" w:name="_Toc132642709"/>
      <w:r>
        <w:rPr>
          <w:rFonts w:hint="eastAsia" w:ascii="宋体" w:hAnsi="宋体" w:eastAsia="宋体"/>
        </w:rPr>
        <w:t>勘查和现场取样的具体时间应与委托人事先约定，委托人和相关人员应到场，任何一方不到场，应记录载明，但不影响鉴定工作开展。司法鉴定机构必须指定至少两名鉴定工作人员参加现场勘查工作，其中至少一名该鉴定事项的司法鉴定人。</w:t>
      </w:r>
      <w:bookmarkEnd w:id="202"/>
      <w:bookmarkEnd w:id="203"/>
      <w:bookmarkEnd w:id="204"/>
    </w:p>
    <w:p>
      <w:pPr>
        <w:pStyle w:val="84"/>
        <w:spacing w:before="156" w:after="156"/>
        <w:ind w:left="0"/>
        <w:rPr>
          <w:rFonts w:hint="eastAsia"/>
        </w:rPr>
      </w:pPr>
      <w:bookmarkStart w:id="205" w:name="_Toc131621956"/>
      <w:bookmarkStart w:id="206" w:name="_Toc132642711"/>
      <w:bookmarkStart w:id="207" w:name="_Toc22808"/>
      <w:r>
        <w:rPr>
          <w:rFonts w:hint="eastAsia"/>
        </w:rPr>
        <w:t>现场勘查应注意以下内容</w:t>
      </w:r>
      <w:bookmarkEnd w:id="205"/>
      <w:bookmarkEnd w:id="206"/>
      <w:bookmarkEnd w:id="207"/>
    </w:p>
    <w:p>
      <w:pPr>
        <w:pStyle w:val="151"/>
        <w:numPr>
          <w:ilvl w:val="0"/>
          <w:numId w:val="35"/>
        </w:numPr>
        <w:rPr>
          <w:rFonts w:hint="eastAsia"/>
        </w:rPr>
      </w:pPr>
      <w:r>
        <w:rPr>
          <w:rFonts w:hint="eastAsia"/>
        </w:rPr>
        <w:t>根据现场勘查情况，司法鉴定人应填写现场勘查记录表（参照附录C）并签名，委托人及当事人应进行签名确认，未能签名确认的应予以记录。</w:t>
      </w:r>
    </w:p>
    <w:p>
      <w:pPr>
        <w:pStyle w:val="151"/>
        <w:rPr>
          <w:rFonts w:hint="eastAsia"/>
        </w:rPr>
      </w:pPr>
      <w:r>
        <w:rPr>
          <w:rFonts w:hint="eastAsia"/>
        </w:rPr>
        <w:t>需要进行现场检测的，应提前准备好检测设备、原始记录表、确认现场条件是否满足检测要求，应对所检样品进行唯一性标识。</w:t>
      </w:r>
    </w:p>
    <w:p>
      <w:pPr>
        <w:pStyle w:val="151"/>
        <w:rPr>
          <w:rFonts w:hint="eastAsia"/>
        </w:rPr>
      </w:pPr>
      <w:r>
        <w:rPr>
          <w:rFonts w:hint="eastAsia"/>
        </w:rPr>
        <w:t>当发现对鉴定结果有影响的情况时，应向委托人说明，并在原始记录表中写明可能存在对鉴定结果的影响。</w:t>
      </w:r>
    </w:p>
    <w:p>
      <w:pPr>
        <w:pStyle w:val="83"/>
        <w:spacing w:before="312" w:after="312"/>
        <w:rPr>
          <w:rFonts w:hint="eastAsia"/>
        </w:rPr>
      </w:pPr>
      <w:bookmarkStart w:id="208" w:name="_Toc15300"/>
      <w:bookmarkStart w:id="209" w:name="_Toc19052"/>
      <w:bookmarkStart w:id="210" w:name="_Toc10940"/>
      <w:r>
        <w:rPr>
          <w:rFonts w:hint="eastAsia"/>
        </w:rPr>
        <w:t>送样</w:t>
      </w:r>
      <w:r>
        <w:t>/</w:t>
      </w:r>
      <w:r>
        <w:rPr>
          <w:rFonts w:hint="eastAsia"/>
        </w:rPr>
        <w:t>取样</w:t>
      </w:r>
      <w:bookmarkEnd w:id="208"/>
      <w:bookmarkEnd w:id="209"/>
      <w:bookmarkEnd w:id="210"/>
    </w:p>
    <w:p>
      <w:pPr>
        <w:pStyle w:val="40"/>
        <w:ind w:firstLine="420"/>
        <w:rPr>
          <w:rFonts w:hint="eastAsia"/>
        </w:rPr>
      </w:pPr>
      <w:r>
        <w:rPr>
          <w:rFonts w:hint="eastAsia"/>
        </w:rPr>
        <w:t>微量物证司法鉴定样品</w:t>
      </w:r>
      <w:r>
        <w:t>/</w:t>
      </w:r>
      <w:r>
        <w:rPr>
          <w:rFonts w:hint="eastAsia"/>
        </w:rPr>
        <w:t>检材的获取分为送样和</w:t>
      </w:r>
      <w:r>
        <w:rPr>
          <w:rFonts w:hint="eastAsia" w:hAnsi="宋体"/>
        </w:rPr>
        <w:t>取样</w:t>
      </w:r>
      <w:r>
        <w:rPr>
          <w:rFonts w:hint="eastAsia"/>
        </w:rPr>
        <w:t>。送样为经委托人组织质证后直接移交的样品</w:t>
      </w:r>
      <w:r>
        <w:t>/</w:t>
      </w:r>
      <w:r>
        <w:rPr>
          <w:rFonts w:hint="eastAsia"/>
        </w:rPr>
        <w:t>检材；</w:t>
      </w:r>
      <w:r>
        <w:rPr>
          <w:rFonts w:hint="eastAsia" w:hAnsi="宋体"/>
        </w:rPr>
        <w:t>取样</w:t>
      </w:r>
      <w:r>
        <w:rPr>
          <w:rFonts w:hint="eastAsia"/>
        </w:rPr>
        <w:t>为司法鉴定机构依法依规现场提取的样品</w:t>
      </w:r>
      <w:r>
        <w:t>/</w:t>
      </w:r>
      <w:r>
        <w:rPr>
          <w:rFonts w:hint="eastAsia"/>
        </w:rPr>
        <w:t>检材。</w:t>
      </w:r>
    </w:p>
    <w:p>
      <w:pPr>
        <w:pStyle w:val="84"/>
        <w:spacing w:before="156" w:after="156"/>
        <w:ind w:left="2"/>
        <w:rPr>
          <w:rFonts w:hint="eastAsia"/>
        </w:rPr>
      </w:pPr>
      <w:bookmarkStart w:id="211" w:name="_Toc17715"/>
      <w:r>
        <w:rPr>
          <w:rFonts w:hint="eastAsia"/>
        </w:rPr>
        <w:t>送样</w:t>
      </w:r>
      <w:bookmarkEnd w:id="211"/>
    </w:p>
    <w:p>
      <w:pPr>
        <w:pStyle w:val="40"/>
        <w:ind w:firstLine="420"/>
        <w:rPr>
          <w:rFonts w:hint="eastAsia"/>
        </w:rPr>
      </w:pPr>
      <w:r>
        <w:rPr>
          <w:rFonts w:hint="eastAsia"/>
        </w:rPr>
        <w:t>接收样品</w:t>
      </w:r>
      <w:r>
        <w:t>/</w:t>
      </w:r>
      <w:r>
        <w:rPr>
          <w:rFonts w:hint="eastAsia"/>
        </w:rPr>
        <w:t>检材时，应全面、详细地记载样品</w:t>
      </w:r>
      <w:r>
        <w:t>/</w:t>
      </w:r>
      <w:r>
        <w:rPr>
          <w:rFonts w:hint="eastAsia"/>
        </w:rPr>
        <w:t>检材的包装、外观、数量、性状等，并记录异常情况或对规定条件的偏离。当对样品</w:t>
      </w:r>
      <w:r>
        <w:t>/</w:t>
      </w:r>
      <w:r>
        <w:rPr>
          <w:rFonts w:hint="eastAsia"/>
        </w:rPr>
        <w:t>检材存有疑问，或当样品</w:t>
      </w:r>
      <w:r>
        <w:t>/</w:t>
      </w:r>
      <w:r>
        <w:rPr>
          <w:rFonts w:hint="eastAsia"/>
        </w:rPr>
        <w:t>检材与委托人提供的信息不一致时</w:t>
      </w:r>
      <w:r>
        <w:t>,</w:t>
      </w:r>
      <w:r>
        <w:rPr>
          <w:rFonts w:hint="eastAsia"/>
        </w:rPr>
        <w:t>司法鉴定机构应及时与委托人沟通并记录。当告知委托人样品</w:t>
      </w:r>
      <w:r>
        <w:t>/</w:t>
      </w:r>
      <w:r>
        <w:rPr>
          <w:rFonts w:hint="eastAsia"/>
        </w:rPr>
        <w:t>检材存在异常情况或偏离可能时，委托人仍要求进行鉴定时，委托人应书面确认。需要时，司法鉴定机构应在鉴定意见书中作出说明。</w:t>
      </w:r>
    </w:p>
    <w:p>
      <w:pPr>
        <w:pStyle w:val="84"/>
        <w:spacing w:before="156" w:after="156"/>
        <w:ind w:left="0"/>
        <w:rPr>
          <w:rFonts w:hint="eastAsia"/>
        </w:rPr>
      </w:pPr>
      <w:bookmarkStart w:id="212" w:name="_Toc30852"/>
      <w:r>
        <w:rPr>
          <w:rFonts w:hint="eastAsia"/>
        </w:rPr>
        <w:t>取样</w:t>
      </w:r>
      <w:bookmarkEnd w:id="212"/>
    </w:p>
    <w:p>
      <w:pPr>
        <w:pStyle w:val="49"/>
        <w:spacing w:before="156" w:after="156"/>
        <w:ind w:left="0"/>
        <w:rPr>
          <w:rFonts w:hint="eastAsia" w:ascii="宋体" w:hAnsi="宋体" w:eastAsia="宋体"/>
        </w:rPr>
      </w:pPr>
      <w:bookmarkStart w:id="213" w:name="_Toc975"/>
      <w:r>
        <w:rPr>
          <w:rFonts w:hint="eastAsia" w:ascii="宋体" w:hAnsi="宋体" w:eastAsia="宋体"/>
        </w:rPr>
        <w:t>司法鉴定机构应根据专业要求，保留完整的取样记录。取样记录包括：取样方法、取样时间、样品信息、取样人员、取样设备、环境或运输条件，需要时图示说明取样位置，以及对取样方法和取样计划可能产生的偏离信息等。</w:t>
      </w:r>
      <w:bookmarkEnd w:id="213"/>
    </w:p>
    <w:p>
      <w:pPr>
        <w:pStyle w:val="49"/>
        <w:spacing w:before="156" w:after="156"/>
        <w:ind w:left="0"/>
        <w:rPr>
          <w:rFonts w:ascii="宋体" w:hAnsi="宋体" w:eastAsia="宋体"/>
        </w:rPr>
      </w:pPr>
      <w:bookmarkStart w:id="214" w:name="_Toc422"/>
      <w:r>
        <w:rPr>
          <w:rFonts w:hint="eastAsia" w:ascii="宋体" w:hAnsi="宋体" w:eastAsia="宋体"/>
        </w:rPr>
        <w:t>需现场取样时，司法鉴定机构应有取样计划和取样方法，取样计划和方法应符合约定的要求。所取样品应满足鉴定需要。</w:t>
      </w:r>
      <w:bookmarkEnd w:id="214"/>
    </w:p>
    <w:p>
      <w:pPr>
        <w:pStyle w:val="49"/>
        <w:spacing w:before="156" w:after="156"/>
        <w:ind w:left="0"/>
        <w:rPr>
          <w:rFonts w:hint="eastAsia" w:ascii="宋体" w:hAnsi="宋体" w:eastAsia="宋体"/>
        </w:rPr>
      </w:pPr>
      <w:bookmarkStart w:id="215" w:name="_Toc15016"/>
      <w:r>
        <w:rPr>
          <w:rFonts w:hint="eastAsia" w:ascii="宋体" w:hAnsi="宋体" w:eastAsia="宋体"/>
        </w:rPr>
        <w:t>司法鉴定机构现场提取样品/检材时的记录应包含：检材存放地点、存放环境、存放容器、包装方式、种类、基数、生产批号等信息。应对勘查现场的重要场景进行拍照或录像记录；应根据现场勘查情况确定取样方法；有相关取样标准或规范的，可参照执行。无取样标准或规范的，和委托人协商确定。</w:t>
      </w:r>
      <w:bookmarkEnd w:id="215"/>
    </w:p>
    <w:p>
      <w:pPr>
        <w:pStyle w:val="84"/>
        <w:spacing w:before="156" w:after="156"/>
        <w:ind w:left="0"/>
        <w:rPr>
          <w:rFonts w:hint="eastAsia"/>
        </w:rPr>
      </w:pPr>
      <w:bookmarkStart w:id="216" w:name="_Toc767"/>
      <w:r>
        <w:rPr>
          <w:rFonts w:hint="eastAsia"/>
        </w:rPr>
        <w:t>处置</w:t>
      </w:r>
      <w:bookmarkEnd w:id="216"/>
    </w:p>
    <w:p>
      <w:pPr>
        <w:pStyle w:val="49"/>
        <w:spacing w:before="156" w:after="156"/>
        <w:ind w:left="0"/>
        <w:rPr>
          <w:rFonts w:hint="eastAsia" w:ascii="宋体" w:hAnsi="宋体" w:eastAsia="宋体"/>
        </w:rPr>
      </w:pPr>
      <w:bookmarkStart w:id="217" w:name="_Toc28432"/>
      <w:r>
        <w:rPr>
          <w:rFonts w:hint="eastAsia" w:ascii="宋体" w:hAnsi="宋体" w:eastAsia="宋体"/>
        </w:rPr>
        <w:t>司法鉴定机构应制定样品/检材的运输、接收、处置、保护、存储、保留、清理或返回的程序。在运输、处置、保存/等候、制备、鉴定过程中,应避免样品/检材变质、污染、丢失或损坏。</w:t>
      </w:r>
      <w:bookmarkEnd w:id="217"/>
    </w:p>
    <w:p>
      <w:pPr>
        <w:pStyle w:val="49"/>
        <w:spacing w:before="156" w:after="156"/>
        <w:ind w:left="0"/>
        <w:rPr>
          <w:rFonts w:ascii="宋体" w:hAnsi="宋体" w:eastAsia="宋体"/>
        </w:rPr>
      </w:pPr>
      <w:bookmarkStart w:id="218" w:name="_Toc15885"/>
      <w:r>
        <w:rPr>
          <w:rFonts w:hint="eastAsia" w:ascii="宋体" w:hAnsi="宋体" w:eastAsia="宋体"/>
        </w:rPr>
        <w:t>司法鉴定机构应根据各类样品/检材的不同特性，进行唯一性标识，确保样品/检材在本鉴定机构的整个期间能得到持续的识别。</w:t>
      </w:r>
      <w:bookmarkEnd w:id="218"/>
    </w:p>
    <w:p>
      <w:pPr>
        <w:pStyle w:val="49"/>
        <w:spacing w:before="156" w:after="156"/>
        <w:ind w:left="0"/>
        <w:rPr>
          <w:rFonts w:hint="eastAsia" w:ascii="宋体" w:hAnsi="宋体" w:eastAsia="宋体"/>
        </w:rPr>
      </w:pPr>
      <w:bookmarkStart w:id="219" w:name="_Toc12345"/>
      <w:r>
        <w:rPr>
          <w:rFonts w:hint="eastAsia" w:ascii="宋体" w:hAnsi="宋体" w:eastAsia="宋体"/>
        </w:rPr>
        <w:t>检验检测前应根据送检材料的类别，采用拍照等方式对其进行固定，应放置唯一性标识和比例尺，一真实反映送检材料的原貌。</w:t>
      </w:r>
      <w:bookmarkEnd w:id="219"/>
    </w:p>
    <w:p>
      <w:pPr>
        <w:pStyle w:val="49"/>
        <w:spacing w:before="156" w:after="156"/>
        <w:ind w:left="0"/>
        <w:rPr>
          <w:rFonts w:hint="eastAsia" w:ascii="宋体" w:hAnsi="宋体" w:eastAsia="宋体"/>
        </w:rPr>
      </w:pPr>
      <w:bookmarkStart w:id="220" w:name="_Toc12856"/>
      <w:r>
        <w:rPr>
          <w:rFonts w:hint="eastAsia" w:ascii="宋体" w:hAnsi="宋体" w:eastAsia="宋体"/>
        </w:rPr>
        <w:t>样品/检材在司法鉴定机构内外部或在不同鉴定阶段的传递，仅采用单一标识方式不适用时，应体现出同一样品/检材的不同标识方式间的传递性关联。</w:t>
      </w:r>
      <w:bookmarkEnd w:id="220"/>
    </w:p>
    <w:p>
      <w:pPr>
        <w:pStyle w:val="49"/>
        <w:spacing w:before="156" w:after="156"/>
        <w:ind w:left="0"/>
        <w:rPr>
          <w:rFonts w:hint="eastAsia" w:ascii="宋体" w:hAnsi="宋体" w:eastAsia="宋体"/>
        </w:rPr>
      </w:pPr>
      <w:bookmarkStart w:id="221" w:name="_Toc231"/>
      <w:r>
        <w:rPr>
          <w:rFonts w:hint="eastAsia" w:ascii="宋体" w:hAnsi="宋体" w:eastAsia="宋体"/>
        </w:rPr>
        <w:t>当样品/检材需要在特定的环境条件下存放或有环境条件要求时，应保持、监控和记录这些环境条件。当样品/检材或其一部分需要安全保护时，司法鉴定机构应对存放和安全作出安排，以保护该检材/样本或有关部分的状态和完整性。</w:t>
      </w:r>
      <w:bookmarkEnd w:id="221"/>
    </w:p>
    <w:p>
      <w:pPr>
        <w:pStyle w:val="49"/>
        <w:spacing w:before="156" w:after="156"/>
        <w:ind w:left="0"/>
        <w:rPr>
          <w:rFonts w:hint="eastAsia" w:ascii="宋体" w:hAnsi="宋体" w:eastAsia="宋体"/>
        </w:rPr>
      </w:pPr>
      <w:bookmarkStart w:id="222" w:name="_Toc15434"/>
      <w:r>
        <w:rPr>
          <w:rFonts w:hint="eastAsia" w:ascii="宋体" w:hAnsi="宋体" w:eastAsia="宋体"/>
        </w:rPr>
        <w:t>司法鉴定机构应对接收、内部传递、处置、保留、返还和清理等过程进行记录，确保“保管链”记录的完整性和可追溯性。</w:t>
      </w:r>
      <w:bookmarkEnd w:id="222"/>
    </w:p>
    <w:p>
      <w:pPr>
        <w:pStyle w:val="83"/>
        <w:spacing w:before="312" w:after="312"/>
        <w:rPr>
          <w:rFonts w:hint="eastAsia"/>
        </w:rPr>
      </w:pPr>
      <w:bookmarkStart w:id="223" w:name="_Toc11338"/>
      <w:bookmarkStart w:id="224" w:name="_Toc132642712"/>
      <w:bookmarkStart w:id="225" w:name="_Toc131621957"/>
      <w:bookmarkStart w:id="226" w:name="_Toc32729"/>
      <w:bookmarkStart w:id="227" w:name="_Toc132642753"/>
      <w:bookmarkStart w:id="228" w:name="_Toc25471"/>
      <w:r>
        <w:rPr>
          <w:rFonts w:hint="eastAsia"/>
        </w:rPr>
        <w:t>实验室</w:t>
      </w:r>
      <w:r>
        <w:rPr>
          <w:rFonts w:hint="eastAsia"/>
          <w:shd w:val="clear" w:color="auto" w:fill="FFFFFF"/>
        </w:rPr>
        <w:t>检验</w:t>
      </w:r>
      <w:r>
        <w:rPr>
          <w:rFonts w:hint="eastAsia"/>
        </w:rPr>
        <w:t>检测</w:t>
      </w:r>
      <w:bookmarkEnd w:id="223"/>
      <w:bookmarkEnd w:id="224"/>
      <w:bookmarkEnd w:id="225"/>
      <w:bookmarkEnd w:id="226"/>
      <w:bookmarkEnd w:id="227"/>
      <w:bookmarkEnd w:id="228"/>
    </w:p>
    <w:p>
      <w:pPr>
        <w:pStyle w:val="84"/>
        <w:spacing w:before="156" w:after="156"/>
        <w:ind w:left="0"/>
        <w:rPr>
          <w:rFonts w:ascii="宋体" w:hAnsi="宋体" w:eastAsia="宋体"/>
        </w:rPr>
      </w:pPr>
      <w:bookmarkStart w:id="229" w:name="_Toc12978"/>
      <w:r>
        <w:rPr>
          <w:rFonts w:hint="eastAsia" w:ascii="宋体" w:hAnsi="宋体" w:eastAsia="宋体"/>
        </w:rPr>
        <w:t>司法鉴定机构应根据本机构的管理体系运行规定及各专业领域的检测技术要求，开展实验室检测工作。</w:t>
      </w:r>
      <w:bookmarkEnd w:id="229"/>
    </w:p>
    <w:p>
      <w:pPr>
        <w:pStyle w:val="84"/>
        <w:spacing w:before="156" w:after="156"/>
        <w:ind w:left="0"/>
        <w:rPr>
          <w:rFonts w:hint="eastAsia" w:ascii="宋体" w:hAnsi="宋体" w:eastAsia="宋体"/>
        </w:rPr>
      </w:pPr>
      <w:bookmarkStart w:id="230" w:name="_Toc17366"/>
      <w:r>
        <w:rPr>
          <w:rFonts w:hint="eastAsia" w:ascii="宋体" w:hAnsi="宋体" w:eastAsia="宋体"/>
        </w:rPr>
        <w:t>对样品/检材进行实验室检测时，应当实时记录检测过程，并在原始记录上签名。原始记录应当载明检测方法、检测项目、样品/检材唯一性标识、检测设备及环境信息、检测检验结果、检测时间等，确保测量结果的计量溯源性。原始记录的内容应当真实、客观、准确、完整、清晰，原始记录应当存入鉴定档案。</w:t>
      </w:r>
      <w:bookmarkEnd w:id="230"/>
    </w:p>
    <w:p>
      <w:pPr>
        <w:pStyle w:val="84"/>
        <w:spacing w:before="156" w:after="156"/>
        <w:ind w:left="0"/>
        <w:rPr>
          <w:rFonts w:hint="eastAsia" w:ascii="宋体" w:hAnsi="宋体" w:eastAsia="宋体"/>
        </w:rPr>
      </w:pPr>
      <w:bookmarkStart w:id="231" w:name="_Toc27815"/>
      <w:r>
        <w:rPr>
          <w:rFonts w:hint="eastAsia" w:ascii="宋体" w:hAnsi="宋体" w:eastAsia="宋体"/>
        </w:rPr>
        <w:t>司法鉴定机构为完成鉴定委托要求，需要其他机构提供部分检测数据时，可以分包。但对于使用司法行政机关规定的必备仪器设备所开展的检验检测工作，司法鉴定机构不得进行分包。</w:t>
      </w:r>
      <w:bookmarkEnd w:id="231"/>
    </w:p>
    <w:p>
      <w:pPr>
        <w:pStyle w:val="84"/>
        <w:spacing w:before="156" w:after="156"/>
        <w:ind w:left="0"/>
        <w:rPr>
          <w:rFonts w:hint="eastAsia" w:ascii="宋体" w:hAnsi="宋体" w:eastAsia="宋体"/>
        </w:rPr>
      </w:pPr>
      <w:bookmarkStart w:id="232" w:name="_Toc5162"/>
      <w:r>
        <w:rPr>
          <w:rFonts w:hint="eastAsia" w:ascii="宋体" w:hAnsi="宋体" w:eastAsia="宋体"/>
        </w:rPr>
        <w:t>鉴定结束后，剩余送检材料按照委托时的约定做如下处置，并做好处置记录。</w:t>
      </w:r>
      <w:bookmarkEnd w:id="232"/>
    </w:p>
    <w:p>
      <w:pPr>
        <w:pStyle w:val="49"/>
        <w:spacing w:before="156" w:after="156"/>
        <w:ind w:left="0"/>
        <w:rPr>
          <w:rFonts w:hint="eastAsia" w:ascii="宋体" w:hAnsi="宋体" w:eastAsia="宋体"/>
        </w:rPr>
      </w:pPr>
      <w:bookmarkStart w:id="233" w:name="_Toc21423"/>
      <w:r>
        <w:rPr>
          <w:rFonts w:hint="eastAsia" w:ascii="宋体" w:hAnsi="宋体" w:eastAsia="宋体"/>
        </w:rPr>
        <w:t>剩余送检材料的返回方式一般有委托方自取或邮寄；</w:t>
      </w:r>
      <w:bookmarkEnd w:id="233"/>
    </w:p>
    <w:p>
      <w:pPr>
        <w:pStyle w:val="49"/>
        <w:spacing w:before="156" w:after="156"/>
        <w:ind w:left="0"/>
        <w:rPr>
          <w:rFonts w:hint="eastAsia" w:ascii="宋体" w:hAnsi="宋体" w:eastAsia="宋体"/>
        </w:rPr>
      </w:pPr>
      <w:bookmarkStart w:id="234" w:name="_Toc24359"/>
      <w:r>
        <w:rPr>
          <w:rFonts w:hint="eastAsia" w:ascii="宋体" w:hAnsi="宋体" w:eastAsia="宋体"/>
        </w:rPr>
        <w:t>不需保存的， 按照有关处理规定集中销毁；</w:t>
      </w:r>
      <w:bookmarkEnd w:id="234"/>
    </w:p>
    <w:p>
      <w:pPr>
        <w:pStyle w:val="49"/>
        <w:spacing w:before="156" w:after="156"/>
        <w:ind w:left="0"/>
        <w:rPr>
          <w:rFonts w:hint="eastAsia" w:ascii="宋体" w:hAnsi="宋体" w:eastAsia="宋体"/>
        </w:rPr>
      </w:pPr>
      <w:bookmarkStart w:id="235" w:name="_Toc23062"/>
      <w:r>
        <w:rPr>
          <w:rFonts w:hint="eastAsia" w:ascii="宋体" w:hAnsi="宋体" w:eastAsia="宋体"/>
        </w:rPr>
        <w:t>需保存的，一般保存期为三个月， 重大案件的保存期可适当延长。 保存期满，按照有关处理规定集中销毁。</w:t>
      </w:r>
      <w:bookmarkEnd w:id="235"/>
    </w:p>
    <w:p>
      <w:pPr>
        <w:pStyle w:val="83"/>
        <w:spacing w:before="312" w:after="312"/>
        <w:rPr>
          <w:rFonts w:hint="eastAsia"/>
        </w:rPr>
      </w:pPr>
      <w:bookmarkStart w:id="236" w:name="_Toc132642754"/>
      <w:bookmarkStart w:id="237" w:name="_Toc131621958"/>
      <w:bookmarkStart w:id="238" w:name="_Toc132642713"/>
      <w:bookmarkStart w:id="239" w:name="_Toc18901"/>
      <w:bookmarkStart w:id="240" w:name="_Toc5865"/>
      <w:bookmarkStart w:id="241" w:name="_Toc24306"/>
      <w:r>
        <w:rPr>
          <w:rFonts w:hint="eastAsia"/>
        </w:rPr>
        <w:t>终止鉴定</w:t>
      </w:r>
      <w:bookmarkEnd w:id="236"/>
      <w:bookmarkEnd w:id="237"/>
      <w:bookmarkEnd w:id="238"/>
      <w:bookmarkEnd w:id="239"/>
      <w:bookmarkEnd w:id="240"/>
      <w:bookmarkEnd w:id="241"/>
    </w:p>
    <w:p>
      <w:pPr>
        <w:pStyle w:val="40"/>
        <w:ind w:firstLine="420"/>
        <w:rPr>
          <w:rFonts w:hint="eastAsia" w:hAnsi="宋体"/>
        </w:rPr>
      </w:pPr>
      <w:r>
        <w:rPr>
          <w:rFonts w:hint="eastAsia" w:hAnsi="宋体"/>
        </w:rPr>
        <w:t>司法鉴定过程中遇到下列情形之一时应及时书面通知委托人，寻求委托人协调解决；不能调解时，可终止该项目鉴定，退还鉴定材料并书面通知委托人：</w:t>
      </w:r>
    </w:p>
    <w:p>
      <w:pPr>
        <w:pStyle w:val="151"/>
        <w:numPr>
          <w:ilvl w:val="0"/>
          <w:numId w:val="36"/>
        </w:numPr>
      </w:pPr>
      <w:r>
        <w:rPr>
          <w:rFonts w:hint="eastAsia"/>
        </w:rPr>
        <w:t>委托人不履行义务、当事人拒不配合或者鉴定活动受到严重干扰，致使鉴定工作无法继续进行的；</w:t>
      </w:r>
    </w:p>
    <w:p>
      <w:pPr>
        <w:pStyle w:val="151"/>
        <w:rPr>
          <w:rFonts w:hint="eastAsia"/>
        </w:rPr>
      </w:pPr>
      <w:r>
        <w:rPr>
          <w:rFonts w:hint="eastAsia"/>
        </w:rPr>
        <w:t>委托人主动撤销鉴定委托，或者未按约定缴纳鉴定费用的；</w:t>
      </w:r>
    </w:p>
    <w:p>
      <w:pPr>
        <w:pStyle w:val="151"/>
        <w:rPr>
          <w:rFonts w:hint="eastAsia"/>
        </w:rPr>
      </w:pPr>
      <w:r>
        <w:rPr>
          <w:rFonts w:hint="eastAsia"/>
        </w:rPr>
        <w:t>因不可抗力致使鉴定工作不能继续进行的；</w:t>
      </w:r>
    </w:p>
    <w:p>
      <w:pPr>
        <w:pStyle w:val="151"/>
        <w:rPr>
          <w:rFonts w:hint="eastAsia"/>
        </w:rPr>
      </w:pPr>
      <w:r>
        <w:rPr>
          <w:rFonts w:hint="eastAsia"/>
        </w:rPr>
        <w:t>其他需要终止鉴定的情形。</w:t>
      </w:r>
    </w:p>
    <w:p>
      <w:pPr>
        <w:pStyle w:val="83"/>
        <w:spacing w:before="312" w:after="312"/>
        <w:rPr>
          <w:rFonts w:hint="eastAsia"/>
        </w:rPr>
      </w:pPr>
      <w:bookmarkStart w:id="242" w:name="_Toc132642755"/>
      <w:bookmarkStart w:id="243" w:name="_Toc132642714"/>
      <w:bookmarkStart w:id="244" w:name="_Toc18003"/>
      <w:bookmarkStart w:id="245" w:name="_Toc20506"/>
      <w:bookmarkStart w:id="246" w:name="_Toc7847"/>
      <w:r>
        <w:rPr>
          <w:rFonts w:hint="eastAsia"/>
        </w:rPr>
        <w:t>分析</w:t>
      </w:r>
      <w:bookmarkEnd w:id="242"/>
      <w:bookmarkEnd w:id="243"/>
      <w:r>
        <w:rPr>
          <w:rFonts w:hint="eastAsia"/>
        </w:rPr>
        <w:t>说明</w:t>
      </w:r>
      <w:bookmarkEnd w:id="244"/>
      <w:bookmarkEnd w:id="245"/>
      <w:bookmarkEnd w:id="246"/>
    </w:p>
    <w:p>
      <w:pPr>
        <w:pStyle w:val="84"/>
        <w:spacing w:before="156" w:after="156"/>
        <w:ind w:left="0"/>
        <w:rPr>
          <w:rFonts w:ascii="宋体" w:hAnsi="宋体" w:eastAsia="宋体"/>
        </w:rPr>
      </w:pPr>
      <w:bookmarkStart w:id="247" w:name="_Toc27009"/>
      <w:r>
        <w:rPr>
          <w:rFonts w:hint="eastAsia" w:ascii="宋体" w:hAnsi="宋体" w:eastAsia="宋体"/>
        </w:rPr>
        <w:t>司法鉴定机构和司法鉴定人应依据技术标准、不同专业领域的科学理论、专业知识等，对现场勘查、实验室检测检验结果以及委托人提供的相关材料，进行符合性、成因、因果关系等技术分析、说明。</w:t>
      </w:r>
      <w:bookmarkEnd w:id="247"/>
    </w:p>
    <w:p>
      <w:pPr>
        <w:pStyle w:val="84"/>
        <w:spacing w:before="156" w:after="156"/>
        <w:ind w:left="0"/>
        <w:rPr>
          <w:rFonts w:hint="eastAsia" w:ascii="宋体" w:hAnsi="宋体" w:eastAsia="宋体"/>
        </w:rPr>
      </w:pPr>
      <w:bookmarkStart w:id="248" w:name="_Toc629"/>
      <w:r>
        <w:rPr>
          <w:rFonts w:hint="eastAsia" w:ascii="宋体" w:hAnsi="宋体" w:eastAsia="宋体"/>
        </w:rPr>
        <w:t>技术分析、说明应对委托事项的鉴定意见进行科学性、逻辑性的解析、阐述和判断，为委托人提供委托鉴定事项通俗易懂的司法鉴定专门意见。</w:t>
      </w:r>
      <w:bookmarkEnd w:id="248"/>
    </w:p>
    <w:p>
      <w:pPr>
        <w:pStyle w:val="83"/>
        <w:spacing w:before="312" w:after="312"/>
        <w:rPr>
          <w:rFonts w:hint="eastAsia"/>
        </w:rPr>
      </w:pPr>
      <w:bookmarkStart w:id="249" w:name="_Toc132642756"/>
      <w:bookmarkStart w:id="250" w:name="_Toc31755"/>
      <w:bookmarkStart w:id="251" w:name="_Toc132642715"/>
      <w:bookmarkStart w:id="252" w:name="_Toc17617"/>
      <w:bookmarkStart w:id="253" w:name="_Toc4112"/>
      <w:r>
        <w:rPr>
          <w:rFonts w:hint="eastAsia"/>
        </w:rPr>
        <w:t>司法鉴定意见</w:t>
      </w:r>
      <w:bookmarkEnd w:id="249"/>
      <w:bookmarkEnd w:id="250"/>
      <w:bookmarkEnd w:id="251"/>
      <w:bookmarkEnd w:id="252"/>
      <w:bookmarkEnd w:id="253"/>
    </w:p>
    <w:p>
      <w:pPr>
        <w:pStyle w:val="84"/>
        <w:spacing w:before="156" w:after="156"/>
        <w:ind w:left="0"/>
        <w:rPr>
          <w:rFonts w:ascii="宋体" w:hAnsi="宋体" w:eastAsia="宋体"/>
        </w:rPr>
      </w:pPr>
      <w:bookmarkStart w:id="254" w:name="_Toc22535"/>
      <w:r>
        <w:rPr>
          <w:rFonts w:hint="eastAsia" w:ascii="宋体" w:hAnsi="宋体" w:eastAsia="宋体"/>
        </w:rPr>
        <w:t>司法鉴定意见作为司法鉴定工作最终结论，应做到客观、科学、公正、明了，不应超出委托鉴定事项内容。</w:t>
      </w:r>
      <w:bookmarkEnd w:id="254"/>
    </w:p>
    <w:p>
      <w:pPr>
        <w:pStyle w:val="84"/>
        <w:spacing w:before="156" w:after="156"/>
        <w:ind w:left="0"/>
        <w:rPr>
          <w:rFonts w:hint="eastAsia" w:ascii="宋体" w:hAnsi="宋体" w:eastAsia="宋体"/>
        </w:rPr>
      </w:pPr>
      <w:bookmarkStart w:id="255" w:name="_Toc18874"/>
      <w:r>
        <w:rPr>
          <w:rFonts w:hint="eastAsia" w:ascii="宋体" w:hAnsi="宋体" w:eastAsia="宋体"/>
        </w:rPr>
        <w:t>鉴定意见如出现分歧，司法鉴定人通过讨论尚不能达成一致意见的，不存在方向性意见分歧的，则以多数鉴定人（三分之二以上）的意见为最终的鉴定意见。不同意见有权保留，同时记录在案。</w:t>
      </w:r>
      <w:bookmarkEnd w:id="255"/>
    </w:p>
    <w:p>
      <w:pPr>
        <w:pStyle w:val="84"/>
        <w:spacing w:before="156" w:after="156"/>
        <w:ind w:left="0"/>
        <w:rPr>
          <w:rFonts w:hint="eastAsia" w:ascii="宋体" w:hAnsi="宋体" w:eastAsia="宋体"/>
        </w:rPr>
      </w:pPr>
      <w:bookmarkStart w:id="256" w:name="_Toc1040"/>
      <w:r>
        <w:rPr>
          <w:rFonts w:hint="eastAsia" w:ascii="宋体" w:hAnsi="宋体" w:eastAsia="宋体"/>
        </w:rPr>
        <w:t>涉及复杂、疑难、特殊技术问题的委托事项，可以向本机构以外的相关专业领域的专家进行咨询，但最终的鉴定意见应由本机构的司法鉴定人出具。专家提供的咨询意见应当签名存档。</w:t>
      </w:r>
      <w:bookmarkEnd w:id="256"/>
    </w:p>
    <w:p>
      <w:pPr>
        <w:pStyle w:val="83"/>
        <w:spacing w:before="312" w:after="312"/>
        <w:rPr>
          <w:rFonts w:hint="eastAsia"/>
        </w:rPr>
      </w:pPr>
      <w:bookmarkStart w:id="257" w:name="_Toc12911"/>
      <w:bookmarkStart w:id="258" w:name="_Toc6542"/>
      <w:bookmarkStart w:id="259" w:name="_Toc25532"/>
      <w:bookmarkStart w:id="260" w:name="_Toc132642757"/>
      <w:bookmarkStart w:id="261" w:name="_Toc132642718"/>
      <w:r>
        <w:rPr>
          <w:rFonts w:hint="eastAsia"/>
        </w:rPr>
        <w:t>司法鉴定意见书</w:t>
      </w:r>
      <w:bookmarkEnd w:id="257"/>
      <w:bookmarkEnd w:id="258"/>
      <w:bookmarkEnd w:id="259"/>
      <w:bookmarkEnd w:id="260"/>
      <w:bookmarkEnd w:id="261"/>
    </w:p>
    <w:p>
      <w:pPr>
        <w:pStyle w:val="84"/>
        <w:spacing w:before="156" w:after="156"/>
        <w:ind w:left="0"/>
      </w:pPr>
      <w:bookmarkStart w:id="262" w:name="_Toc91698902"/>
      <w:bookmarkStart w:id="263" w:name="_Toc11292"/>
      <w:bookmarkStart w:id="264" w:name="_Toc91698709"/>
      <w:bookmarkStart w:id="265" w:name="_Toc131621965"/>
      <w:bookmarkStart w:id="266" w:name="_Toc132642719"/>
      <w:bookmarkStart w:id="267" w:name="_Toc81573600"/>
      <w:r>
        <w:rPr>
          <w:rFonts w:hint="eastAsia"/>
        </w:rPr>
        <w:t>格式</w:t>
      </w:r>
      <w:bookmarkEnd w:id="262"/>
      <w:bookmarkEnd w:id="263"/>
      <w:bookmarkEnd w:id="264"/>
      <w:bookmarkEnd w:id="265"/>
      <w:bookmarkEnd w:id="266"/>
      <w:bookmarkEnd w:id="267"/>
    </w:p>
    <w:p>
      <w:pPr>
        <w:pStyle w:val="40"/>
        <w:ind w:firstLine="420"/>
        <w:rPr>
          <w:rFonts w:hint="eastAsia"/>
        </w:rPr>
      </w:pPr>
      <w:r>
        <w:rPr>
          <w:rFonts w:hint="eastAsia"/>
        </w:rPr>
        <w:t>司法鉴定意见书作为委托司法鉴定的全过程最终成果是法定的文书证据，可按照司法部司法鉴定文书格式相关规定制作鉴定意见书，但不局限于其要求的内容，可根据委托鉴定的实际情况对章节顺序做合理、适用调整。</w:t>
      </w:r>
    </w:p>
    <w:p>
      <w:pPr>
        <w:pStyle w:val="84"/>
        <w:spacing w:before="156" w:after="156"/>
        <w:ind w:left="0"/>
        <w:rPr>
          <w:rFonts w:hint="eastAsia"/>
        </w:rPr>
      </w:pPr>
      <w:bookmarkStart w:id="268" w:name="_Toc132642720"/>
      <w:bookmarkStart w:id="269" w:name="_Toc6636"/>
      <w:r>
        <w:rPr>
          <w:rFonts w:hint="eastAsia"/>
        </w:rPr>
        <w:t>期限</w:t>
      </w:r>
      <w:bookmarkEnd w:id="268"/>
      <w:bookmarkEnd w:id="269"/>
    </w:p>
    <w:p>
      <w:pPr>
        <w:pStyle w:val="40"/>
        <w:ind w:firstLine="420"/>
        <w:rPr>
          <w:rFonts w:hint="eastAsia"/>
        </w:rPr>
      </w:pPr>
      <w:r>
        <w:rPr>
          <w:rFonts w:hint="eastAsia"/>
        </w:rPr>
        <w:t>司法鉴定意见书的发放应在规定时间内完成，鉴定过程中补充材料等非司法鉴定机构原因造成的时间延误不计入鉴定时间；如需延期，须书面告知委托人；司法鉴定机构与委托人对鉴定时限另有约定的，从其约定。</w:t>
      </w:r>
    </w:p>
    <w:p>
      <w:pPr>
        <w:pStyle w:val="84"/>
        <w:spacing w:before="156" w:after="156"/>
        <w:ind w:left="0"/>
        <w:rPr>
          <w:rFonts w:hint="eastAsia"/>
        </w:rPr>
      </w:pPr>
      <w:bookmarkStart w:id="270" w:name="_Toc17512"/>
      <w:r>
        <w:rPr>
          <w:rFonts w:hint="eastAsia"/>
        </w:rPr>
        <w:t>内部复核</w:t>
      </w:r>
      <w:bookmarkEnd w:id="270"/>
    </w:p>
    <w:p>
      <w:pPr>
        <w:pStyle w:val="49"/>
        <w:spacing w:before="156" w:after="156"/>
        <w:ind w:left="0"/>
        <w:rPr>
          <w:rFonts w:hint="eastAsia" w:ascii="宋体" w:hAnsi="宋体" w:eastAsia="宋体"/>
        </w:rPr>
      </w:pPr>
      <w:bookmarkStart w:id="271" w:name="_Toc7134"/>
      <w:r>
        <w:rPr>
          <w:rFonts w:hint="eastAsia" w:ascii="宋体" w:hAnsi="宋体" w:eastAsia="宋体"/>
        </w:rPr>
        <w:t>司法鉴定人完成鉴定后，正式出具司法鉴定意见书之前，司法鉴定机构应指定具有相应资质的人员对鉴定程序和鉴定意见进行复核。</w:t>
      </w:r>
      <w:bookmarkEnd w:id="271"/>
    </w:p>
    <w:p>
      <w:pPr>
        <w:pStyle w:val="49"/>
        <w:spacing w:before="156" w:after="156"/>
        <w:ind w:left="0"/>
        <w:rPr>
          <w:rFonts w:hint="eastAsia" w:ascii="宋体" w:hAnsi="宋体" w:eastAsia="宋体"/>
        </w:rPr>
      </w:pPr>
      <w:bookmarkStart w:id="272" w:name="_Toc14512"/>
      <w:r>
        <w:rPr>
          <w:rFonts w:hint="eastAsia" w:ascii="宋体" w:hAnsi="宋体" w:eastAsia="宋体"/>
        </w:rPr>
        <w:t>对鉴定程序的复核包括以下内容：</w:t>
      </w:r>
      <w:bookmarkEnd w:id="272"/>
    </w:p>
    <w:p>
      <w:pPr>
        <w:pStyle w:val="151"/>
        <w:numPr>
          <w:ilvl w:val="0"/>
          <w:numId w:val="37"/>
        </w:numPr>
        <w:rPr>
          <w:rFonts w:hint="eastAsia"/>
        </w:rPr>
      </w:pPr>
      <w:r>
        <w:rPr>
          <w:rFonts w:hint="eastAsia"/>
        </w:rPr>
        <w:t>委托主体是否适当；</w:t>
      </w:r>
    </w:p>
    <w:p>
      <w:pPr>
        <w:pStyle w:val="151"/>
        <w:rPr>
          <w:rFonts w:hint="eastAsia"/>
        </w:rPr>
      </w:pPr>
      <w:r>
        <w:rPr>
          <w:rFonts w:hint="eastAsia"/>
        </w:rPr>
        <w:t>司法鉴定委托书等形式要件是否完整清晰；</w:t>
      </w:r>
    </w:p>
    <w:p>
      <w:pPr>
        <w:pStyle w:val="151"/>
        <w:rPr>
          <w:rFonts w:hint="eastAsia"/>
        </w:rPr>
      </w:pPr>
      <w:r>
        <w:rPr>
          <w:rFonts w:hint="eastAsia"/>
        </w:rPr>
        <w:t>委托事项是否超出本机构司法鉴定业务范围，鉴定要求是否超出本机构技术条件或鉴定能力，是否符合执业规则或者相关技术要求，鉴定用途是否合法或违背社会公德，决定受理委托时限是否符合规定；</w:t>
      </w:r>
    </w:p>
    <w:p>
      <w:pPr>
        <w:pStyle w:val="151"/>
        <w:rPr>
          <w:rFonts w:hint="eastAsia"/>
        </w:rPr>
      </w:pPr>
      <w:r>
        <w:rPr>
          <w:rFonts w:hint="eastAsia"/>
        </w:rPr>
        <w:t>鉴定材料的接受、提取、保管、使用，以及现场勘查、检查和样本取证等是否符合鉴定要求；</w:t>
      </w:r>
    </w:p>
    <w:p>
      <w:pPr>
        <w:pStyle w:val="151"/>
        <w:rPr>
          <w:rFonts w:hint="eastAsia"/>
        </w:rPr>
      </w:pPr>
      <w:r>
        <w:rPr>
          <w:rFonts w:hint="eastAsia"/>
        </w:rPr>
        <w:t>司法鉴定人的资质、数量等是否符合鉴定要求，是否存在需要回避情形；</w:t>
      </w:r>
    </w:p>
    <w:p>
      <w:pPr>
        <w:pStyle w:val="151"/>
        <w:rPr>
          <w:rFonts w:hint="eastAsia"/>
        </w:rPr>
      </w:pPr>
      <w:r>
        <w:rPr>
          <w:rFonts w:hint="eastAsia"/>
        </w:rPr>
        <w:t>鉴定过程是否实时记录并签名，记录是否载明主要的鉴定方法和过程，是否载明检验结果、检测数据以及仪器设备等使用情况，记录的内容是否真实、客观、准确、完整，鉴定过程的各种文书是否符合文本格式要求；</w:t>
      </w:r>
    </w:p>
    <w:p>
      <w:pPr>
        <w:pStyle w:val="151"/>
        <w:rPr>
          <w:rFonts w:hint="eastAsia"/>
        </w:rPr>
      </w:pPr>
      <w:r>
        <w:rPr>
          <w:rFonts w:hint="eastAsia"/>
        </w:rPr>
        <w:t>是否属于重新鉴定、补充鉴定，是否存在终止鉴定的情形；</w:t>
      </w:r>
    </w:p>
    <w:p>
      <w:pPr>
        <w:pStyle w:val="151"/>
        <w:rPr>
          <w:rFonts w:hint="eastAsia"/>
        </w:rPr>
      </w:pPr>
      <w:r>
        <w:rPr>
          <w:rFonts w:hint="eastAsia"/>
        </w:rPr>
        <w:t>是否在规定或约定时限内完成鉴定；</w:t>
      </w:r>
    </w:p>
    <w:p>
      <w:pPr>
        <w:pStyle w:val="151"/>
        <w:rPr>
          <w:rFonts w:hint="eastAsia"/>
        </w:rPr>
      </w:pPr>
      <w:r>
        <w:rPr>
          <w:rFonts w:hint="eastAsia"/>
        </w:rPr>
        <w:t>鉴定程序是否符合法律、法规、规章及相关规定的其他要求。</w:t>
      </w:r>
    </w:p>
    <w:p>
      <w:pPr>
        <w:pStyle w:val="49"/>
        <w:spacing w:before="156" w:after="156"/>
        <w:ind w:left="0"/>
        <w:rPr>
          <w:rFonts w:hint="eastAsia" w:ascii="宋体" w:hAnsi="宋体" w:eastAsia="宋体"/>
        </w:rPr>
      </w:pPr>
      <w:bookmarkStart w:id="273" w:name="_Toc16587"/>
      <w:r>
        <w:rPr>
          <w:rFonts w:hint="eastAsia" w:ascii="宋体" w:hAnsi="宋体" w:eastAsia="宋体"/>
        </w:rPr>
        <w:t>对鉴定意见的复核包括以下内容：</w:t>
      </w:r>
      <w:bookmarkEnd w:id="273"/>
    </w:p>
    <w:p>
      <w:pPr>
        <w:pStyle w:val="151"/>
        <w:numPr>
          <w:ilvl w:val="0"/>
          <w:numId w:val="38"/>
        </w:numPr>
        <w:rPr>
          <w:rFonts w:hint="eastAsia"/>
        </w:rPr>
      </w:pPr>
      <w:r>
        <w:rPr>
          <w:rFonts w:hint="eastAsia"/>
        </w:rPr>
        <w:t>司法鉴定意见书（送审稿）的文本格式、形式要件等是否完整、准确、恰当；</w:t>
      </w:r>
    </w:p>
    <w:p>
      <w:pPr>
        <w:pStyle w:val="151"/>
        <w:rPr>
          <w:rFonts w:hint="eastAsia"/>
        </w:rPr>
      </w:pPr>
      <w:r>
        <w:rPr>
          <w:rFonts w:hint="eastAsia"/>
        </w:rPr>
        <w:t>技术标准、技术规范和技术方法的遵守和采用是否符合要求；</w:t>
      </w:r>
    </w:p>
    <w:p>
      <w:pPr>
        <w:pStyle w:val="151"/>
        <w:rPr>
          <w:rFonts w:hint="eastAsia"/>
        </w:rPr>
      </w:pPr>
      <w:r>
        <w:rPr>
          <w:rFonts w:hint="eastAsia"/>
        </w:rPr>
        <w:t>鉴定过程的描述是否全面、准确，是否载明人员、时间、地点、内容，鉴定材料及其选取和使用等情况，是否载明适用的技术标准、技术规范和技术方法，检验、检测所使用的仪器设备、方法和主要结果等（有特殊要求的除外）；</w:t>
      </w:r>
    </w:p>
    <w:p>
      <w:pPr>
        <w:pStyle w:val="151"/>
        <w:rPr>
          <w:rFonts w:hint="eastAsia"/>
        </w:rPr>
      </w:pPr>
      <w:r>
        <w:rPr>
          <w:rFonts w:hint="eastAsia"/>
        </w:rPr>
        <w:t>分析说明是否依据鉴定材料和检验结果、检测数据、专家意见等进行鉴别和判断；</w:t>
      </w:r>
    </w:p>
    <w:p>
      <w:pPr>
        <w:pStyle w:val="151"/>
        <w:rPr>
          <w:rFonts w:hint="eastAsia"/>
        </w:rPr>
      </w:pPr>
      <w:r>
        <w:rPr>
          <w:rFonts w:hint="eastAsia"/>
        </w:rPr>
        <w:t>鉴定意见表述是否清晰、完整、准确；</w:t>
      </w:r>
    </w:p>
    <w:p>
      <w:pPr>
        <w:pStyle w:val="151"/>
        <w:rPr>
          <w:rFonts w:hint="eastAsia"/>
        </w:rPr>
      </w:pPr>
      <w:r>
        <w:rPr>
          <w:rFonts w:hint="eastAsia"/>
        </w:rPr>
        <w:t>鉴定意见是否符合法律、法规、规章及相关规定的其他要求。</w:t>
      </w:r>
    </w:p>
    <w:p>
      <w:pPr>
        <w:pStyle w:val="49"/>
        <w:spacing w:before="156" w:after="156"/>
        <w:ind w:left="0"/>
        <w:rPr>
          <w:rFonts w:hint="eastAsia" w:ascii="宋体" w:hAnsi="宋体" w:eastAsia="宋体"/>
        </w:rPr>
      </w:pPr>
      <w:bookmarkStart w:id="274" w:name="_Toc29747"/>
      <w:r>
        <w:rPr>
          <w:rFonts w:hint="eastAsia" w:ascii="宋体" w:hAnsi="宋体" w:eastAsia="宋体"/>
        </w:rPr>
        <w:t>复核人应提出书面的复核意见（参照附录D），并签名存档；多名复核人参加复核工作时，根据多数复核人的意见形成最终复核意见，有异议的应当注明。</w:t>
      </w:r>
      <w:bookmarkEnd w:id="274"/>
    </w:p>
    <w:p>
      <w:pPr>
        <w:pStyle w:val="49"/>
        <w:spacing w:before="156" w:after="156"/>
        <w:ind w:left="0"/>
        <w:rPr>
          <w:rFonts w:hint="eastAsia" w:ascii="宋体" w:hAnsi="宋体" w:eastAsia="宋体"/>
        </w:rPr>
      </w:pPr>
      <w:bookmarkStart w:id="275" w:name="_Toc135"/>
      <w:r>
        <w:rPr>
          <w:rFonts w:hint="eastAsia" w:ascii="宋体" w:hAnsi="宋体" w:eastAsia="宋体"/>
        </w:rPr>
        <w:t>复核意见与鉴定意见不一致或存在重大分歧时，司法鉴定机构应当组织司法鉴定人按照复核意见认真核查鉴定意见，必要时组织司法鉴定人或者专家进行论证，鉴定意见确实存在问题和瑕疵的，司法鉴定人应当及时进行纠正。司法鉴定人不认同复核意见，坚持鉴定意见的应当注明。</w:t>
      </w:r>
      <w:bookmarkEnd w:id="275"/>
    </w:p>
    <w:p>
      <w:pPr>
        <w:pStyle w:val="84"/>
        <w:spacing w:before="156" w:after="156"/>
        <w:ind w:left="0"/>
        <w:rPr>
          <w:rFonts w:hint="eastAsia"/>
        </w:rPr>
      </w:pPr>
      <w:bookmarkStart w:id="276" w:name="_Toc132642721"/>
      <w:bookmarkStart w:id="277" w:name="_Toc2774"/>
      <w:r>
        <w:rPr>
          <w:rFonts w:hint="eastAsia"/>
        </w:rPr>
        <w:t>发放</w:t>
      </w:r>
      <w:bookmarkEnd w:id="276"/>
      <w:bookmarkEnd w:id="277"/>
    </w:p>
    <w:p>
      <w:pPr>
        <w:pStyle w:val="49"/>
        <w:spacing w:before="156" w:after="156"/>
        <w:ind w:left="0"/>
        <w:rPr>
          <w:rFonts w:hint="eastAsia" w:ascii="宋体" w:hAnsi="宋体" w:eastAsia="宋体"/>
        </w:rPr>
      </w:pPr>
      <w:bookmarkStart w:id="278" w:name="_Toc13621"/>
      <w:r>
        <w:rPr>
          <w:rFonts w:hint="eastAsia" w:ascii="宋体" w:hAnsi="宋体" w:eastAsia="宋体"/>
        </w:rPr>
        <w:t>应按省级司法行政部门及司法鉴定机构管理要求，完成司法鉴定人签字、资料整理，上传管理</w:t>
      </w:r>
      <w:bookmarkEnd w:id="278"/>
    </w:p>
    <w:p>
      <w:pPr>
        <w:pStyle w:val="49"/>
        <w:numPr>
          <w:ilvl w:val="3"/>
          <w:numId w:val="0"/>
        </w:numPr>
        <w:spacing w:before="156" w:after="156"/>
        <w:rPr>
          <w:rFonts w:hint="eastAsia" w:ascii="宋体" w:hAnsi="宋体" w:eastAsia="宋体"/>
        </w:rPr>
      </w:pPr>
      <w:bookmarkStart w:id="279" w:name="_Toc5283"/>
      <w:r>
        <w:rPr>
          <w:rFonts w:hint="eastAsia" w:ascii="宋体" w:hAnsi="宋体" w:eastAsia="宋体"/>
        </w:rPr>
        <w:t>系统后进行鉴定意见书的发放。</w:t>
      </w:r>
      <w:bookmarkEnd w:id="279"/>
    </w:p>
    <w:p>
      <w:pPr>
        <w:pStyle w:val="49"/>
        <w:spacing w:before="156" w:after="156"/>
        <w:ind w:left="0"/>
        <w:rPr>
          <w:rFonts w:hint="eastAsia" w:ascii="宋体" w:hAnsi="宋体" w:eastAsia="宋体"/>
        </w:rPr>
      </w:pPr>
      <w:bookmarkStart w:id="280" w:name="_Toc27492"/>
      <w:r>
        <w:rPr>
          <w:rFonts w:hint="eastAsia" w:ascii="宋体" w:hAnsi="宋体" w:eastAsia="宋体"/>
        </w:rPr>
        <w:t>司法鉴定意见书应按照约定的方式发放至委托人，不得向委托人、各方当事人提供未经司法鉴定人签字、未加盖司法鉴定专用章的司法鉴定意见书。</w:t>
      </w:r>
      <w:bookmarkEnd w:id="280"/>
    </w:p>
    <w:p>
      <w:pPr>
        <w:pStyle w:val="84"/>
        <w:spacing w:before="156" w:after="156"/>
        <w:ind w:left="0"/>
        <w:rPr>
          <w:rFonts w:hint="eastAsia"/>
        </w:rPr>
      </w:pPr>
      <w:bookmarkStart w:id="281" w:name="_Toc132642722"/>
      <w:bookmarkStart w:id="282" w:name="_Toc5617"/>
      <w:r>
        <w:rPr>
          <w:rFonts w:hint="eastAsia"/>
        </w:rPr>
        <w:t>补正</w:t>
      </w:r>
      <w:bookmarkEnd w:id="281"/>
      <w:bookmarkEnd w:id="282"/>
    </w:p>
    <w:p>
      <w:pPr>
        <w:pStyle w:val="49"/>
        <w:spacing w:before="156" w:after="156"/>
        <w:ind w:left="0"/>
        <w:rPr>
          <w:rFonts w:hint="eastAsia" w:ascii="宋体" w:hAnsi="宋体" w:eastAsia="宋体"/>
        </w:rPr>
      </w:pPr>
      <w:bookmarkStart w:id="283" w:name="_Toc8203"/>
      <w:r>
        <w:rPr>
          <w:rFonts w:hint="eastAsia" w:ascii="宋体" w:hAnsi="宋体" w:eastAsia="宋体"/>
        </w:rPr>
        <w:t>司法鉴定意见书出具后，发现有下列情形之一的，司法鉴定机构可以进行补正：</w:t>
      </w:r>
      <w:bookmarkEnd w:id="283"/>
    </w:p>
    <w:p>
      <w:pPr>
        <w:pStyle w:val="151"/>
        <w:numPr>
          <w:ilvl w:val="0"/>
          <w:numId w:val="39"/>
        </w:numPr>
        <w:rPr>
          <w:rFonts w:hint="eastAsia"/>
        </w:rPr>
      </w:pPr>
      <w:r>
        <w:rPr>
          <w:rFonts w:hint="eastAsia"/>
        </w:rPr>
        <w:t>图像、图谱、表格不清晰的；</w:t>
      </w:r>
    </w:p>
    <w:p>
      <w:pPr>
        <w:pStyle w:val="151"/>
        <w:rPr>
          <w:rFonts w:hint="eastAsia"/>
        </w:rPr>
      </w:pPr>
      <w:r>
        <w:rPr>
          <w:rFonts w:hint="eastAsia"/>
        </w:rPr>
        <w:t>签名、盖章或者编号不符合制作要求的；</w:t>
      </w:r>
    </w:p>
    <w:p>
      <w:pPr>
        <w:pStyle w:val="151"/>
        <w:rPr>
          <w:rFonts w:hint="eastAsia"/>
        </w:rPr>
      </w:pPr>
      <w:r>
        <w:rPr>
          <w:rFonts w:hint="eastAsia"/>
        </w:rPr>
        <w:t>文字表达有瑕疵或者错别字，但不影响司法鉴定意见的。</w:t>
      </w:r>
    </w:p>
    <w:p>
      <w:pPr>
        <w:pStyle w:val="49"/>
        <w:spacing w:before="156" w:after="156"/>
        <w:ind w:left="0"/>
        <w:rPr>
          <w:rFonts w:hint="eastAsia" w:ascii="宋体" w:hAnsi="宋体" w:eastAsia="宋体"/>
        </w:rPr>
      </w:pPr>
      <w:bookmarkStart w:id="284" w:name="_Toc25067"/>
      <w:r>
        <w:rPr>
          <w:rFonts w:hint="eastAsia" w:ascii="宋体" w:hAnsi="宋体" w:eastAsia="宋体"/>
        </w:rPr>
        <w:t>补正应当在原司法鉴定意见书上进行，由至少一名司法鉴定人在补正处签名。必要时，可以出具补正书。</w:t>
      </w:r>
      <w:bookmarkEnd w:id="284"/>
    </w:p>
    <w:p>
      <w:pPr>
        <w:pStyle w:val="49"/>
        <w:spacing w:before="156" w:after="156"/>
        <w:ind w:left="0"/>
        <w:rPr>
          <w:rFonts w:hint="eastAsia" w:ascii="宋体" w:hAnsi="宋体" w:eastAsia="宋体"/>
        </w:rPr>
      </w:pPr>
      <w:bookmarkStart w:id="285" w:name="_Toc17264"/>
      <w:r>
        <w:rPr>
          <w:rFonts w:hint="eastAsia" w:ascii="宋体" w:hAnsi="宋体" w:eastAsia="宋体"/>
        </w:rPr>
        <w:t>对司法鉴定意见书的补正，不得改变司法鉴定意见的原意。</w:t>
      </w:r>
      <w:bookmarkEnd w:id="285"/>
    </w:p>
    <w:p>
      <w:pPr>
        <w:pStyle w:val="83"/>
        <w:spacing w:before="312" w:after="312"/>
        <w:rPr>
          <w:rFonts w:hint="eastAsia"/>
        </w:rPr>
      </w:pPr>
      <w:bookmarkStart w:id="286" w:name="_Toc132642758"/>
      <w:bookmarkStart w:id="287" w:name="_Toc132642723"/>
      <w:bookmarkStart w:id="288" w:name="_Toc21506"/>
      <w:bookmarkStart w:id="289" w:name="_Toc131621970"/>
      <w:bookmarkStart w:id="290" w:name="_Toc4705"/>
      <w:bookmarkStart w:id="291" w:name="_Toc1985"/>
      <w:r>
        <w:rPr>
          <w:rFonts w:hint="eastAsia"/>
        </w:rPr>
        <w:t>补充鉴定</w:t>
      </w:r>
      <w:bookmarkEnd w:id="286"/>
      <w:bookmarkEnd w:id="287"/>
      <w:bookmarkEnd w:id="288"/>
      <w:bookmarkEnd w:id="289"/>
      <w:bookmarkEnd w:id="290"/>
      <w:bookmarkEnd w:id="291"/>
    </w:p>
    <w:p>
      <w:pPr>
        <w:pStyle w:val="84"/>
        <w:spacing w:before="156" w:after="156"/>
        <w:ind w:left="0"/>
        <w:rPr>
          <w:rFonts w:ascii="宋体" w:hAnsi="宋体" w:eastAsia="宋体"/>
        </w:rPr>
      </w:pPr>
      <w:bookmarkStart w:id="292" w:name="_Toc132642724"/>
      <w:bookmarkStart w:id="293" w:name="_Toc20544"/>
      <w:r>
        <w:rPr>
          <w:rFonts w:hint="eastAsia" w:ascii="宋体" w:hAnsi="宋体" w:eastAsia="宋体"/>
        </w:rPr>
        <w:t>司法鉴定机构可以根据委托人的要求进行补充鉴定。</w:t>
      </w:r>
      <w:bookmarkEnd w:id="292"/>
      <w:bookmarkEnd w:id="293"/>
    </w:p>
    <w:p>
      <w:pPr>
        <w:pStyle w:val="84"/>
        <w:spacing w:before="156" w:after="156"/>
        <w:ind w:left="0"/>
        <w:rPr>
          <w:rFonts w:hint="eastAsia" w:ascii="宋体" w:hAnsi="宋体" w:eastAsia="宋体"/>
        </w:rPr>
      </w:pPr>
      <w:bookmarkStart w:id="294" w:name="_Toc132642726"/>
      <w:bookmarkStart w:id="295" w:name="_Toc18176"/>
      <w:r>
        <w:rPr>
          <w:rFonts w:hint="eastAsia" w:ascii="宋体" w:hAnsi="宋体" w:eastAsia="宋体"/>
        </w:rPr>
        <w:t>补充鉴定是原鉴定委托的组成部分，应由原司法鉴定人进行，并注明与原委托鉴定事项相关联的鉴定事项。补充鉴定意见与原鉴定意见明显不一致的，应充分说明分析判断理由。</w:t>
      </w:r>
      <w:bookmarkEnd w:id="294"/>
      <w:bookmarkEnd w:id="295"/>
    </w:p>
    <w:p>
      <w:pPr>
        <w:pStyle w:val="83"/>
        <w:spacing w:before="312" w:after="312"/>
        <w:rPr>
          <w:rFonts w:hint="eastAsia"/>
        </w:rPr>
      </w:pPr>
      <w:bookmarkStart w:id="296" w:name="_Toc132642727"/>
      <w:bookmarkStart w:id="297" w:name="_Toc22613"/>
      <w:bookmarkStart w:id="298" w:name="_Toc131621971"/>
      <w:bookmarkStart w:id="299" w:name="_Toc132642759"/>
      <w:bookmarkStart w:id="300" w:name="_Toc92"/>
      <w:bookmarkStart w:id="301" w:name="_Toc15889"/>
      <w:r>
        <w:rPr>
          <w:rFonts w:hint="eastAsia"/>
        </w:rPr>
        <w:t>出庭作证</w:t>
      </w:r>
      <w:bookmarkEnd w:id="296"/>
      <w:bookmarkEnd w:id="297"/>
      <w:bookmarkEnd w:id="298"/>
      <w:bookmarkEnd w:id="299"/>
      <w:bookmarkEnd w:id="300"/>
      <w:bookmarkEnd w:id="301"/>
    </w:p>
    <w:p>
      <w:pPr>
        <w:pStyle w:val="84"/>
        <w:spacing w:before="156" w:after="156"/>
        <w:ind w:left="0"/>
        <w:rPr>
          <w:rFonts w:ascii="宋体" w:hAnsi="宋体" w:eastAsia="宋体"/>
        </w:rPr>
      </w:pPr>
      <w:bookmarkStart w:id="302" w:name="_Toc132642728"/>
      <w:bookmarkStart w:id="303" w:name="_Toc12130"/>
      <w:r>
        <w:rPr>
          <w:rFonts w:hint="eastAsia" w:ascii="宋体" w:hAnsi="宋体" w:eastAsia="宋体"/>
        </w:rPr>
        <w:t>委托人通知司法鉴定人出庭作证的，应在开庭三日前将出庭通知书及异议材料送达司法鉴定人。司法鉴定人因出庭而产生的交通费、住宿费、生活费和误工补贴等出庭费用，由委托人代为收取并支付给司法鉴定机构。</w:t>
      </w:r>
      <w:bookmarkEnd w:id="302"/>
      <w:bookmarkEnd w:id="303"/>
    </w:p>
    <w:p>
      <w:pPr>
        <w:pStyle w:val="84"/>
        <w:spacing w:before="156" w:after="156"/>
        <w:ind w:left="0"/>
        <w:rPr>
          <w:rFonts w:hint="eastAsia"/>
        </w:rPr>
      </w:pPr>
      <w:bookmarkStart w:id="304" w:name="_Toc132642729"/>
      <w:bookmarkStart w:id="305" w:name="_Toc13615"/>
      <w:r>
        <w:rPr>
          <w:rFonts w:hint="eastAsia" w:ascii="宋体" w:hAnsi="宋体" w:eastAsia="宋体"/>
        </w:rPr>
        <w:t>司法鉴定机构应支持司法鉴定人出庭作证，为司法鉴定人依法出庭提供必要条件。</w:t>
      </w:r>
      <w:bookmarkEnd w:id="304"/>
      <w:bookmarkEnd w:id="305"/>
    </w:p>
    <w:p>
      <w:pPr>
        <w:pStyle w:val="84"/>
        <w:spacing w:before="156" w:after="156"/>
        <w:ind w:left="0"/>
        <w:rPr>
          <w:rFonts w:hint="eastAsia"/>
        </w:rPr>
      </w:pPr>
      <w:bookmarkStart w:id="306" w:name="_Toc132642730"/>
      <w:bookmarkStart w:id="307" w:name="_Toc16028"/>
      <w:r>
        <w:rPr>
          <w:rFonts w:hint="eastAsia" w:ascii="宋体" w:hAnsi="宋体" w:eastAsia="宋体"/>
        </w:rPr>
        <w:t>司法鉴定人出庭作证时，应遵守法庭纪律，着装整洁、举止文明，应出示司法鉴定人执业证。</w:t>
      </w:r>
      <w:bookmarkEnd w:id="306"/>
      <w:bookmarkEnd w:id="307"/>
    </w:p>
    <w:p>
      <w:pPr>
        <w:pStyle w:val="84"/>
        <w:spacing w:before="156" w:after="156"/>
        <w:ind w:left="0"/>
        <w:rPr>
          <w:rFonts w:hint="eastAsia"/>
        </w:rPr>
      </w:pPr>
      <w:bookmarkStart w:id="308" w:name="_Toc132642731"/>
      <w:bookmarkStart w:id="309" w:name="_Toc6020"/>
      <w:r>
        <w:rPr>
          <w:rFonts w:hint="eastAsia" w:ascii="宋体" w:hAnsi="宋体" w:eastAsia="宋体"/>
        </w:rPr>
        <w:t>司法鉴定人出庭作证时，对与本机构出具的司法鉴定意见无关的异议，可不予回答。</w:t>
      </w:r>
      <w:bookmarkEnd w:id="308"/>
      <w:bookmarkEnd w:id="309"/>
    </w:p>
    <w:p>
      <w:pPr>
        <w:pStyle w:val="83"/>
        <w:spacing w:before="312" w:after="312"/>
        <w:rPr>
          <w:rFonts w:hint="eastAsia"/>
        </w:rPr>
      </w:pPr>
      <w:bookmarkStart w:id="310" w:name="_Toc91698907"/>
      <w:bookmarkStart w:id="311" w:name="_Toc132642760"/>
      <w:bookmarkStart w:id="312" w:name="_Toc132642732"/>
      <w:bookmarkStart w:id="313" w:name="_Toc81573605"/>
      <w:bookmarkStart w:id="314" w:name="_Toc7216"/>
      <w:bookmarkStart w:id="315" w:name="_Toc30178"/>
      <w:bookmarkStart w:id="316" w:name="_Toc10845"/>
      <w:bookmarkStart w:id="317" w:name="_Toc131621972"/>
      <w:r>
        <w:rPr>
          <w:rFonts w:hint="eastAsia"/>
        </w:rPr>
        <w:t>档案管理</w:t>
      </w:r>
      <w:bookmarkEnd w:id="310"/>
      <w:bookmarkEnd w:id="311"/>
      <w:bookmarkEnd w:id="312"/>
      <w:bookmarkEnd w:id="313"/>
      <w:bookmarkEnd w:id="314"/>
      <w:bookmarkEnd w:id="315"/>
      <w:bookmarkEnd w:id="316"/>
      <w:bookmarkEnd w:id="317"/>
    </w:p>
    <w:p>
      <w:pPr>
        <w:pStyle w:val="84"/>
        <w:spacing w:before="156" w:after="156"/>
        <w:ind w:left="0"/>
      </w:pPr>
      <w:bookmarkStart w:id="318" w:name="_Toc132642733"/>
      <w:bookmarkStart w:id="319" w:name="_Toc131621973"/>
      <w:bookmarkStart w:id="320" w:name="_Toc81573606"/>
      <w:bookmarkStart w:id="321" w:name="_Toc21298"/>
      <w:bookmarkStart w:id="322" w:name="_Toc91698908"/>
      <w:bookmarkStart w:id="323" w:name="_Toc91698715"/>
      <w:bookmarkStart w:id="324" w:name="_Toc81493167"/>
      <w:r>
        <w:rPr>
          <w:rFonts w:hint="eastAsia"/>
        </w:rPr>
        <w:t>原则</w:t>
      </w:r>
      <w:bookmarkEnd w:id="318"/>
      <w:bookmarkEnd w:id="319"/>
      <w:bookmarkEnd w:id="320"/>
      <w:bookmarkEnd w:id="321"/>
      <w:bookmarkEnd w:id="322"/>
      <w:bookmarkEnd w:id="323"/>
    </w:p>
    <w:p>
      <w:pPr>
        <w:pStyle w:val="202"/>
        <w:rPr>
          <w:rFonts w:hint="eastAsia" w:ascii="Times New Roman"/>
        </w:rPr>
      </w:pPr>
      <w:r>
        <w:rPr>
          <w:rFonts w:hint="eastAsia" w:ascii="Times New Roman"/>
        </w:rPr>
        <w:t>司法鉴定档案是其所属机构全部档案的重要组成部分，应遵循集中统一管理、维护档案的完整安全和便于使用的原则。</w:t>
      </w:r>
      <w:bookmarkEnd w:id="324"/>
    </w:p>
    <w:p>
      <w:pPr>
        <w:pStyle w:val="202"/>
        <w:spacing w:beforeLines="50"/>
        <w:rPr>
          <w:rFonts w:ascii="Times New Roman"/>
        </w:rPr>
      </w:pPr>
      <w:r>
        <w:rPr>
          <w:rFonts w:hint="eastAsia" w:ascii="Times New Roman"/>
        </w:rPr>
        <w:t>司法鉴定过程中的检验检测数据，专家会签意见，讨论、研究鉴定事项的会议记录，鉴定文书底稿等司法鉴定机构内部资料，应对外保密。委托人确有需要时，可到司法鉴定机构办理相关手续后查阅，未经许可不得复印、拍照、录影等。</w:t>
      </w:r>
    </w:p>
    <w:p>
      <w:pPr>
        <w:pStyle w:val="84"/>
        <w:spacing w:before="156" w:after="156"/>
        <w:ind w:left="0"/>
      </w:pPr>
      <w:bookmarkStart w:id="325" w:name="_Toc91698717"/>
      <w:bookmarkStart w:id="326" w:name="_Toc132642735"/>
      <w:bookmarkStart w:id="327" w:name="_Toc81573608"/>
      <w:bookmarkStart w:id="328" w:name="_Toc91698910"/>
      <w:bookmarkStart w:id="329" w:name="_Toc131621975"/>
      <w:bookmarkStart w:id="330" w:name="_Toc17801"/>
      <w:bookmarkStart w:id="331" w:name="_Toc81493171"/>
      <w:r>
        <w:rPr>
          <w:rFonts w:hint="eastAsia"/>
        </w:rPr>
        <w:t>档案收录范围</w:t>
      </w:r>
      <w:bookmarkEnd w:id="325"/>
      <w:bookmarkEnd w:id="326"/>
      <w:bookmarkEnd w:id="327"/>
      <w:bookmarkEnd w:id="328"/>
      <w:bookmarkEnd w:id="329"/>
      <w:bookmarkEnd w:id="330"/>
    </w:p>
    <w:p>
      <w:pPr>
        <w:pStyle w:val="49"/>
        <w:spacing w:before="156" w:after="156"/>
        <w:ind w:left="0"/>
        <w:rPr>
          <w:rFonts w:hint="eastAsia" w:ascii="宋体" w:hAnsi="宋体" w:eastAsia="宋体"/>
        </w:rPr>
      </w:pPr>
      <w:bookmarkStart w:id="332" w:name="_Toc13601"/>
      <w:r>
        <w:rPr>
          <w:rFonts w:hint="eastAsia" w:ascii="宋体" w:hAnsi="宋体" w:eastAsia="宋体"/>
        </w:rPr>
        <w:t>司法鉴定过程中形成的文件、信函、凭证、笔录、音像资料、电子邮件、网络通讯记录以及鉴定事项有关的其他材料，均属于司法鉴定档案的收录范围。</w:t>
      </w:r>
      <w:bookmarkEnd w:id="331"/>
      <w:bookmarkEnd w:id="332"/>
    </w:p>
    <w:p>
      <w:pPr>
        <w:pStyle w:val="49"/>
        <w:spacing w:before="156" w:after="156"/>
        <w:ind w:left="0"/>
        <w:rPr>
          <w:rFonts w:hint="eastAsia" w:ascii="宋体" w:hAnsi="宋体" w:eastAsia="宋体"/>
        </w:rPr>
      </w:pPr>
      <w:bookmarkStart w:id="333" w:name="_Toc11376"/>
      <w:bookmarkStart w:id="334" w:name="_Toc81493172"/>
      <w:r>
        <w:rPr>
          <w:rFonts w:hint="eastAsia" w:ascii="宋体" w:hAnsi="宋体" w:eastAsia="宋体"/>
        </w:rPr>
        <w:t>司法鉴定卷内材料，可按下列顺序排列：</w:t>
      </w:r>
      <w:bookmarkEnd w:id="333"/>
    </w:p>
    <w:p>
      <w:pPr>
        <w:pStyle w:val="151"/>
        <w:numPr>
          <w:ilvl w:val="0"/>
          <w:numId w:val="40"/>
        </w:numPr>
        <w:rPr>
          <w:rFonts w:hint="eastAsia"/>
        </w:rPr>
      </w:pPr>
      <w:r>
        <w:rPr>
          <w:rFonts w:hint="eastAsia"/>
        </w:rPr>
        <w:t>案卷封面</w:t>
      </w:r>
    </w:p>
    <w:p>
      <w:pPr>
        <w:pStyle w:val="151"/>
        <w:ind w:left="850" w:hanging="425"/>
        <w:rPr>
          <w:rFonts w:hint="eastAsia"/>
        </w:rPr>
      </w:pPr>
      <w:r>
        <w:rPr>
          <w:rFonts w:hint="eastAsia"/>
        </w:rPr>
        <w:t>卷内目录</w:t>
      </w:r>
    </w:p>
    <w:p>
      <w:pPr>
        <w:pStyle w:val="151"/>
        <w:ind w:left="850" w:hanging="425"/>
        <w:rPr>
          <w:rFonts w:hint="eastAsia"/>
        </w:rPr>
      </w:pPr>
      <w:r>
        <w:rPr>
          <w:rFonts w:hint="eastAsia"/>
        </w:rPr>
        <w:t>司法鉴定委托书</w:t>
      </w:r>
    </w:p>
    <w:p>
      <w:pPr>
        <w:pStyle w:val="151"/>
        <w:ind w:left="850" w:hanging="425"/>
        <w:rPr>
          <w:rFonts w:hint="eastAsia"/>
        </w:rPr>
      </w:pPr>
      <w:r>
        <w:rPr>
          <w:rFonts w:hint="eastAsia"/>
        </w:rPr>
        <w:t>外部信息核查/验证表</w:t>
      </w:r>
    </w:p>
    <w:p>
      <w:pPr>
        <w:pStyle w:val="151"/>
        <w:ind w:left="850" w:hanging="425"/>
        <w:rPr>
          <w:rFonts w:hint="eastAsia"/>
        </w:rPr>
      </w:pPr>
      <w:r>
        <w:rPr>
          <w:rFonts w:hint="eastAsia"/>
        </w:rPr>
        <w:t>送鉴材料记录（包括时间、地点、名称、损毁程度，各种照片和文字材料复印件）</w:t>
      </w:r>
    </w:p>
    <w:p>
      <w:pPr>
        <w:pStyle w:val="151"/>
        <w:ind w:left="850" w:hanging="425"/>
        <w:rPr>
          <w:rFonts w:hint="eastAsia"/>
        </w:rPr>
      </w:pPr>
      <w:r>
        <w:rPr>
          <w:rFonts w:hint="eastAsia"/>
        </w:rPr>
        <w:t>鉴定案件受理审批表</w:t>
      </w:r>
    </w:p>
    <w:p>
      <w:pPr>
        <w:pStyle w:val="151"/>
        <w:ind w:left="850" w:hanging="425"/>
        <w:rPr>
          <w:rFonts w:hint="eastAsia"/>
        </w:rPr>
      </w:pPr>
      <w:r>
        <w:rPr>
          <w:rFonts w:hint="eastAsia"/>
        </w:rPr>
        <w:t>司法鉴定风险告知书</w:t>
      </w:r>
    </w:p>
    <w:p>
      <w:pPr>
        <w:pStyle w:val="151"/>
        <w:ind w:left="850" w:hanging="425"/>
        <w:rPr>
          <w:rFonts w:hint="eastAsia"/>
        </w:rPr>
      </w:pPr>
      <w:r>
        <w:rPr>
          <w:rFonts w:hint="eastAsia"/>
        </w:rPr>
        <w:t>鉴定过程实时记录（具体包括检查、检测、录音、录像、拍照、笔记等）</w:t>
      </w:r>
    </w:p>
    <w:p>
      <w:pPr>
        <w:pStyle w:val="151"/>
        <w:ind w:left="850" w:hanging="425"/>
        <w:rPr>
          <w:rFonts w:hint="eastAsia"/>
        </w:rPr>
      </w:pPr>
      <w:r>
        <w:rPr>
          <w:rFonts w:hint="eastAsia"/>
        </w:rPr>
        <w:t>讨论、研究鉴定事项的会议记录</w:t>
      </w:r>
    </w:p>
    <w:p>
      <w:pPr>
        <w:pStyle w:val="151"/>
        <w:ind w:left="850" w:hanging="425"/>
        <w:rPr>
          <w:rFonts w:hint="eastAsia"/>
        </w:rPr>
      </w:pPr>
      <w:r>
        <w:rPr>
          <w:rFonts w:hint="eastAsia"/>
        </w:rPr>
        <w:t>专家会鉴意见</w:t>
      </w:r>
    </w:p>
    <w:p>
      <w:pPr>
        <w:pStyle w:val="151"/>
        <w:ind w:left="850" w:hanging="425"/>
        <w:rPr>
          <w:rFonts w:hint="eastAsia"/>
        </w:rPr>
      </w:pPr>
      <w:r>
        <w:rPr>
          <w:rFonts w:hint="eastAsia"/>
        </w:rPr>
        <w:t>鉴定文书正本</w:t>
      </w:r>
    </w:p>
    <w:p>
      <w:pPr>
        <w:pStyle w:val="151"/>
        <w:ind w:left="850" w:hanging="425"/>
        <w:rPr>
          <w:rFonts w:hint="eastAsia"/>
        </w:rPr>
      </w:pPr>
      <w:r>
        <w:rPr>
          <w:rFonts w:hint="eastAsia"/>
        </w:rPr>
        <w:t>鉴定文书底稿</w:t>
      </w:r>
    </w:p>
    <w:p>
      <w:pPr>
        <w:pStyle w:val="151"/>
        <w:ind w:left="850" w:hanging="425"/>
        <w:rPr>
          <w:rFonts w:hint="eastAsia"/>
        </w:rPr>
      </w:pPr>
      <w:r>
        <w:rPr>
          <w:rFonts w:hint="eastAsia"/>
        </w:rPr>
        <w:t>司法鉴定复核记录表</w:t>
      </w:r>
    </w:p>
    <w:p>
      <w:pPr>
        <w:pStyle w:val="151"/>
        <w:ind w:left="850" w:hanging="425"/>
        <w:rPr>
          <w:rFonts w:hint="eastAsia"/>
        </w:rPr>
      </w:pPr>
      <w:r>
        <w:rPr>
          <w:rFonts w:hint="eastAsia"/>
        </w:rPr>
        <w:t>鉴定资料流转单</w:t>
      </w:r>
    </w:p>
    <w:p>
      <w:pPr>
        <w:pStyle w:val="151"/>
        <w:ind w:left="850" w:hanging="425"/>
        <w:rPr>
          <w:rFonts w:hint="eastAsia"/>
        </w:rPr>
      </w:pPr>
      <w:r>
        <w:rPr>
          <w:rFonts w:hint="eastAsia"/>
        </w:rPr>
        <w:t>补充鉴定的相关材料</w:t>
      </w:r>
    </w:p>
    <w:p>
      <w:pPr>
        <w:pStyle w:val="151"/>
        <w:ind w:left="850" w:hanging="425"/>
        <w:rPr>
          <w:rFonts w:hint="eastAsia"/>
        </w:rPr>
      </w:pPr>
      <w:r>
        <w:rPr>
          <w:rFonts w:hint="eastAsia"/>
        </w:rPr>
        <w:t>送达（邮寄凭证）</w:t>
      </w:r>
    </w:p>
    <w:p>
      <w:pPr>
        <w:pStyle w:val="151"/>
        <w:ind w:left="850" w:hanging="425"/>
        <w:rPr>
          <w:rFonts w:hint="eastAsia"/>
        </w:rPr>
      </w:pPr>
      <w:r>
        <w:rPr>
          <w:rFonts w:hint="eastAsia"/>
        </w:rPr>
        <w:t>收费凭据复印件</w:t>
      </w:r>
    </w:p>
    <w:p>
      <w:pPr>
        <w:pStyle w:val="151"/>
        <w:ind w:left="850" w:hanging="425"/>
        <w:rPr>
          <w:rFonts w:hint="eastAsia"/>
        </w:rPr>
      </w:pPr>
      <w:r>
        <w:rPr>
          <w:rFonts w:hint="eastAsia"/>
        </w:rPr>
        <w:t>其他应归档的载体材料；</w:t>
      </w:r>
    </w:p>
    <w:p>
      <w:pPr>
        <w:pStyle w:val="151"/>
        <w:ind w:left="850" w:hanging="425"/>
        <w:rPr>
          <w:rFonts w:hint="eastAsia"/>
        </w:rPr>
      </w:pPr>
      <w:r>
        <w:rPr>
          <w:rFonts w:hint="eastAsia"/>
        </w:rPr>
        <w:t>卷内备考表；</w:t>
      </w:r>
    </w:p>
    <w:p>
      <w:pPr>
        <w:pStyle w:val="151"/>
        <w:ind w:left="850" w:hanging="425"/>
        <w:rPr>
          <w:rFonts w:hint="eastAsia"/>
        </w:rPr>
      </w:pPr>
      <w:r>
        <w:rPr>
          <w:rFonts w:hint="eastAsia"/>
        </w:rPr>
        <w:t>封底。</w:t>
      </w:r>
      <w:bookmarkEnd w:id="334"/>
    </w:p>
    <w:p>
      <w:pPr>
        <w:pStyle w:val="84"/>
        <w:spacing w:before="156" w:after="156"/>
        <w:ind w:left="0"/>
        <w:rPr>
          <w:rFonts w:hint="eastAsia"/>
        </w:rPr>
      </w:pPr>
      <w:bookmarkStart w:id="335" w:name="_Toc132642737"/>
      <w:bookmarkStart w:id="336" w:name="_Toc26224"/>
      <w:r>
        <w:rPr>
          <w:rFonts w:hint="eastAsia"/>
        </w:rPr>
        <w:t>立卷</w:t>
      </w:r>
      <w:bookmarkEnd w:id="335"/>
      <w:bookmarkEnd w:id="336"/>
    </w:p>
    <w:p>
      <w:pPr>
        <w:pStyle w:val="49"/>
        <w:spacing w:before="156" w:after="156"/>
        <w:ind w:left="0"/>
        <w:rPr>
          <w:rFonts w:hint="eastAsia" w:ascii="宋体" w:hAnsi="宋体" w:eastAsia="宋体"/>
        </w:rPr>
      </w:pPr>
      <w:bookmarkStart w:id="337" w:name="_Toc16924"/>
      <w:r>
        <w:rPr>
          <w:rFonts w:hint="eastAsia" w:ascii="宋体" w:hAnsi="宋体" w:eastAsia="宋体"/>
        </w:rPr>
        <w:t>司法鉴定档案的立卷工作，由司法鉴定机构负责人指定本案件司法鉴定人负责立卷。边鉴定边收集整理，鉴结卷成。任何人不得将司法鉴定档案相关材料据为己有或拒绝归档。</w:t>
      </w:r>
      <w:bookmarkEnd w:id="337"/>
    </w:p>
    <w:p>
      <w:pPr>
        <w:pStyle w:val="49"/>
        <w:spacing w:before="156" w:after="156"/>
        <w:ind w:left="0"/>
        <w:rPr>
          <w:rFonts w:hint="eastAsia" w:ascii="宋体" w:hAnsi="宋体" w:eastAsia="宋体"/>
        </w:rPr>
      </w:pPr>
      <w:bookmarkStart w:id="338" w:name="_Toc5568"/>
      <w:r>
        <w:rPr>
          <w:rFonts w:hint="eastAsia" w:ascii="宋体" w:hAnsi="宋体" w:eastAsia="宋体"/>
        </w:rPr>
        <w:t>案卷整理应齐全、规范，应用阿拉伯数字编写页码，标明共几页第几页；卷宗的目录应包括序号、材料名称、页码；卷面和卷底填写应字迹清楚、不得涂改；案卷应用线绳三孔一线的方式装订，卷底右侧多余部分应当进行折叠，保持与卷面平齐。</w:t>
      </w:r>
      <w:bookmarkEnd w:id="338"/>
    </w:p>
    <w:p>
      <w:pPr>
        <w:pStyle w:val="84"/>
        <w:spacing w:before="156" w:after="156"/>
        <w:ind w:left="0"/>
        <w:rPr>
          <w:rFonts w:hint="eastAsia"/>
        </w:rPr>
      </w:pPr>
      <w:bookmarkStart w:id="339" w:name="_Toc132642738"/>
      <w:bookmarkStart w:id="340" w:name="_Toc7115"/>
      <w:r>
        <w:rPr>
          <w:rFonts w:hint="eastAsia"/>
        </w:rPr>
        <w:t>交接及封装</w:t>
      </w:r>
      <w:bookmarkEnd w:id="339"/>
      <w:bookmarkEnd w:id="340"/>
    </w:p>
    <w:p>
      <w:pPr>
        <w:pStyle w:val="49"/>
        <w:spacing w:before="156" w:after="156"/>
        <w:ind w:left="0"/>
        <w:rPr>
          <w:rFonts w:hint="eastAsia" w:ascii="宋体" w:hAnsi="宋体" w:eastAsia="宋体"/>
        </w:rPr>
      </w:pPr>
      <w:bookmarkStart w:id="341" w:name="_Toc10230"/>
      <w:r>
        <w:rPr>
          <w:rFonts w:hint="eastAsia" w:ascii="宋体" w:hAnsi="宋体" w:eastAsia="宋体"/>
        </w:rPr>
        <w:t>司法鉴定事项办理结束(以鉴定文书发出之日起为准)或终止(以机构负责人确认终止鉴定的签字日期为准)后，由负责立卷的司法鉴定人于15日内与档案管理人员办理交接手续，做好交接记录。交接记录包括︰类别、卷数、页数、移交人、接收人等。</w:t>
      </w:r>
      <w:bookmarkEnd w:id="341"/>
    </w:p>
    <w:p>
      <w:pPr>
        <w:pStyle w:val="49"/>
        <w:spacing w:before="156" w:after="156"/>
        <w:ind w:left="0"/>
        <w:rPr>
          <w:rFonts w:hint="eastAsia" w:ascii="宋体" w:hAnsi="宋体" w:eastAsia="宋体"/>
        </w:rPr>
      </w:pPr>
      <w:bookmarkStart w:id="342" w:name="_Toc1280"/>
      <w:r>
        <w:rPr>
          <w:rFonts w:hint="eastAsia" w:ascii="宋体" w:hAnsi="宋体" w:eastAsia="宋体"/>
        </w:rPr>
        <w:t>档案管理人员接收司法鉴定案卷时，应会同司法鉴定人认真检查全部归档材料，凡不符合立卷规定要求的，退回立卷人重新整理，确保归档案卷的质量；符合立卷规定要求的，案卷装订完毕后应由司法鉴定人在封底装订处贴档案绵纸封条并在绵纸封条处签名，将鉴定案卷归档。</w:t>
      </w:r>
      <w:bookmarkEnd w:id="342"/>
    </w:p>
    <w:p>
      <w:pPr>
        <w:pStyle w:val="49"/>
        <w:spacing w:before="156" w:after="156"/>
        <w:ind w:left="0"/>
        <w:rPr>
          <w:rFonts w:hint="eastAsia" w:ascii="宋体" w:hAnsi="宋体" w:eastAsia="宋体"/>
        </w:rPr>
      </w:pPr>
      <w:bookmarkStart w:id="343" w:name="_Toc5107"/>
      <w:r>
        <w:rPr>
          <w:rFonts w:hint="eastAsia" w:ascii="宋体" w:hAnsi="宋体" w:eastAsia="宋体"/>
        </w:rPr>
        <w:t>司法鉴定机构负责人检查卷内材料的齐全、完整、准确情况后签名并标注检查日期。</w:t>
      </w:r>
      <w:bookmarkEnd w:id="343"/>
    </w:p>
    <w:p>
      <w:pPr>
        <w:pStyle w:val="84"/>
        <w:spacing w:before="156" w:after="156"/>
        <w:ind w:left="0"/>
        <w:rPr>
          <w:rFonts w:hint="eastAsia"/>
        </w:rPr>
      </w:pPr>
      <w:bookmarkStart w:id="344" w:name="_Toc91698915"/>
      <w:bookmarkStart w:id="345" w:name="_Toc132642739"/>
      <w:bookmarkStart w:id="346" w:name="_Toc81493176"/>
      <w:bookmarkStart w:id="347" w:name="_Toc91698722"/>
      <w:bookmarkStart w:id="348" w:name="_Toc131621979"/>
      <w:bookmarkStart w:id="349" w:name="_Toc81573613"/>
      <w:bookmarkStart w:id="350" w:name="_Toc13532"/>
      <w:r>
        <w:rPr>
          <w:rFonts w:hint="eastAsia"/>
        </w:rPr>
        <w:t>归档保管</w:t>
      </w:r>
      <w:bookmarkEnd w:id="344"/>
      <w:bookmarkEnd w:id="345"/>
      <w:bookmarkEnd w:id="346"/>
      <w:bookmarkEnd w:id="347"/>
      <w:bookmarkEnd w:id="348"/>
      <w:bookmarkEnd w:id="349"/>
      <w:bookmarkEnd w:id="350"/>
    </w:p>
    <w:p>
      <w:pPr>
        <w:pStyle w:val="49"/>
        <w:spacing w:before="156" w:after="156"/>
        <w:ind w:left="0"/>
        <w:rPr>
          <w:rFonts w:hint="eastAsia" w:ascii="宋体" w:hAnsi="宋体" w:eastAsia="宋体"/>
        </w:rPr>
      </w:pPr>
      <w:bookmarkStart w:id="351" w:name="_Toc26890"/>
      <w:r>
        <w:rPr>
          <w:rFonts w:hint="eastAsia" w:ascii="宋体" w:hAnsi="宋体" w:eastAsia="宋体"/>
        </w:rPr>
        <w:t>档案管理人员对已归档的案卷，应按鉴定类别、年度顺序进行排列编号，编制案卷目录、检索卡片及其他检索工具，应实现档案的计算机管理。</w:t>
      </w:r>
      <w:bookmarkEnd w:id="351"/>
    </w:p>
    <w:p>
      <w:pPr>
        <w:pStyle w:val="49"/>
        <w:spacing w:before="156" w:after="156"/>
        <w:ind w:left="0"/>
        <w:rPr>
          <w:rFonts w:hint="eastAsia" w:ascii="宋体" w:hAnsi="宋体" w:eastAsia="宋体"/>
        </w:rPr>
      </w:pPr>
      <w:bookmarkStart w:id="352" w:name="_Toc18228"/>
      <w:r>
        <w:rPr>
          <w:rFonts w:hint="eastAsia" w:ascii="宋体" w:hAnsi="宋体" w:eastAsia="宋体"/>
        </w:rPr>
        <w:t>司法鉴定档案应分类保管，民事案件司法鉴定档案保管期限为二十年，刑事案件司法鉴定档案保管期限为三十年，疑难复杂及重新鉴定案件保管期限为永久。</w:t>
      </w:r>
      <w:bookmarkEnd w:id="352"/>
    </w:p>
    <w:p>
      <w:pPr>
        <w:pStyle w:val="49"/>
        <w:spacing w:before="156" w:after="156"/>
        <w:ind w:left="0"/>
        <w:rPr>
          <w:rFonts w:hint="eastAsia" w:ascii="宋体" w:hAnsi="宋体" w:eastAsia="宋体"/>
        </w:rPr>
      </w:pPr>
      <w:bookmarkStart w:id="353" w:name="_Toc15942"/>
      <w:r>
        <w:rPr>
          <w:rFonts w:hint="eastAsia" w:ascii="宋体" w:hAnsi="宋体" w:eastAsia="宋体"/>
        </w:rPr>
        <w:t>司法鉴定机构应建立司法鉴定档案查阅制度，查阅和复制司法鉴定档案需经司法鉴定机构负责人批准，并办理相关登记手续。</w:t>
      </w:r>
      <w:bookmarkEnd w:id="353"/>
    </w:p>
    <w:p>
      <w:pPr>
        <w:pStyle w:val="49"/>
        <w:spacing w:before="156" w:after="156"/>
        <w:ind w:left="0"/>
        <w:rPr>
          <w:rFonts w:hint="eastAsia" w:ascii="宋体" w:hAnsi="宋体" w:eastAsia="宋体"/>
        </w:rPr>
      </w:pPr>
      <w:bookmarkStart w:id="354" w:name="_Toc24396"/>
      <w:r>
        <w:rPr>
          <w:rFonts w:hint="eastAsia" w:ascii="宋体" w:hAnsi="宋体" w:eastAsia="宋体"/>
        </w:rPr>
        <w:t>司法鉴定机构的记录调阅应符合保密性的承诺并易于获得；应有程序来保护和备份以电子形式存储的记录，并防止未经授权的访问或修改。记录中使用电子签名时,应制定和执行相关程序，确保并能证实电子签名只能被本人使用。</w:t>
      </w:r>
      <w:bookmarkEnd w:id="354"/>
    </w:p>
    <w:p>
      <w:pPr>
        <w:pStyle w:val="84"/>
        <w:spacing w:before="156" w:after="156"/>
        <w:ind w:left="0"/>
        <w:rPr>
          <w:rFonts w:hint="eastAsia"/>
        </w:rPr>
      </w:pPr>
      <w:bookmarkStart w:id="355" w:name="_Toc131621980"/>
      <w:bookmarkStart w:id="356" w:name="_Toc30907"/>
      <w:bookmarkStart w:id="357" w:name="_Toc132642740"/>
      <w:r>
        <w:rPr>
          <w:rFonts w:hint="eastAsia"/>
        </w:rPr>
        <w:t>其他</w:t>
      </w:r>
      <w:bookmarkEnd w:id="355"/>
      <w:bookmarkEnd w:id="356"/>
      <w:bookmarkEnd w:id="357"/>
    </w:p>
    <w:p>
      <w:pPr>
        <w:pStyle w:val="40"/>
        <w:ind w:firstLine="420"/>
        <w:rPr>
          <w:rFonts w:hint="eastAsia"/>
        </w:rPr>
      </w:pPr>
      <w:r>
        <w:rPr>
          <w:rFonts w:hint="eastAsia"/>
        </w:rPr>
        <w:t>本标准未尽事项应按</w:t>
      </w:r>
      <w:bookmarkStart w:id="358" w:name="_Toc81493169"/>
      <w:r>
        <w:rPr>
          <w:rFonts w:hint="eastAsia"/>
        </w:rPr>
        <w:t>《江苏省司法鉴定档案管理办法》的规定执行。</w:t>
      </w:r>
      <w:bookmarkEnd w:id="358"/>
    </w:p>
    <w:p>
      <w:pPr>
        <w:pStyle w:val="83"/>
        <w:spacing w:before="312" w:after="312"/>
        <w:rPr>
          <w:rFonts w:hint="eastAsia"/>
        </w:rPr>
      </w:pPr>
      <w:bookmarkStart w:id="359" w:name="_Toc9245"/>
      <w:bookmarkStart w:id="360" w:name="_Toc15344"/>
      <w:bookmarkStart w:id="361" w:name="_Toc18775"/>
      <w:r>
        <w:rPr>
          <w:rFonts w:hint="eastAsia"/>
        </w:rPr>
        <w:t>投诉处理</w:t>
      </w:r>
      <w:bookmarkEnd w:id="359"/>
      <w:bookmarkEnd w:id="360"/>
      <w:bookmarkEnd w:id="361"/>
    </w:p>
    <w:p>
      <w:pPr>
        <w:pStyle w:val="84"/>
        <w:spacing w:before="156" w:after="156"/>
        <w:ind w:left="0"/>
        <w:rPr>
          <w:rFonts w:ascii="宋体" w:hAnsi="宋体" w:eastAsia="宋体"/>
        </w:rPr>
      </w:pPr>
      <w:bookmarkStart w:id="362" w:name="_Toc2420"/>
      <w:r>
        <w:rPr>
          <w:rFonts w:hint="eastAsia" w:ascii="宋体" w:hAnsi="宋体" w:eastAsia="宋体"/>
        </w:rPr>
        <w:t>司法鉴定机构应建立投诉管理机制，应设立专门人员受理投诉，公开投诉受理渠道。</w:t>
      </w:r>
      <w:bookmarkEnd w:id="362"/>
    </w:p>
    <w:p>
      <w:pPr>
        <w:pStyle w:val="84"/>
        <w:spacing w:before="156" w:after="156"/>
        <w:ind w:left="0"/>
        <w:rPr>
          <w:rFonts w:hint="eastAsia" w:ascii="宋体" w:hAnsi="宋体" w:eastAsia="宋体"/>
        </w:rPr>
      </w:pPr>
      <w:bookmarkStart w:id="363" w:name="_Toc22843"/>
      <w:r>
        <w:rPr>
          <w:rFonts w:hint="eastAsia" w:ascii="宋体" w:hAnsi="宋体" w:eastAsia="宋体"/>
        </w:rPr>
        <w:t>有下列情形之一投诉，司法鉴定机构可不予受理，但应与投诉人做好必要的沟通、解释工作。</w:t>
      </w:r>
      <w:bookmarkEnd w:id="363"/>
    </w:p>
    <w:p>
      <w:pPr>
        <w:pStyle w:val="151"/>
        <w:numPr>
          <w:ilvl w:val="0"/>
          <w:numId w:val="41"/>
        </w:numPr>
        <w:rPr>
          <w:rFonts w:hint="eastAsia"/>
        </w:rPr>
      </w:pPr>
      <w:r>
        <w:rPr>
          <w:rFonts w:hint="eastAsia"/>
        </w:rPr>
        <w:t>对人民法院、人民检察院、公安机关以及其他行政执法机关等在执法办案过程中，是否采信鉴定意见有异议的；</w:t>
      </w:r>
    </w:p>
    <w:p>
      <w:pPr>
        <w:pStyle w:val="151"/>
        <w:rPr>
          <w:rFonts w:hint="eastAsia"/>
        </w:rPr>
      </w:pPr>
      <w:r>
        <w:rPr>
          <w:rFonts w:hint="eastAsia"/>
        </w:rPr>
        <w:t>仅对鉴定意见有异议的；</w:t>
      </w:r>
    </w:p>
    <w:p>
      <w:pPr>
        <w:pStyle w:val="151"/>
        <w:rPr>
          <w:rFonts w:hint="eastAsia"/>
        </w:rPr>
      </w:pPr>
      <w:r>
        <w:rPr>
          <w:rFonts w:hint="eastAsia"/>
        </w:rPr>
        <w:t>对司法鉴定程序规则及司法鉴定标准、技术操作规范的规定有异议的；</w:t>
      </w:r>
    </w:p>
    <w:p>
      <w:pPr>
        <w:pStyle w:val="151"/>
        <w:rPr>
          <w:rFonts w:hint="eastAsia"/>
        </w:rPr>
      </w:pPr>
      <w:r>
        <w:rPr>
          <w:rFonts w:hint="eastAsia"/>
        </w:rPr>
        <w:t>投诉事项不属于违反司法鉴定管理规定的。</w:t>
      </w:r>
    </w:p>
    <w:p>
      <w:pPr>
        <w:pStyle w:val="84"/>
        <w:spacing w:before="156" w:after="156"/>
        <w:ind w:left="0"/>
        <w:rPr>
          <w:rFonts w:hint="eastAsia" w:ascii="宋体" w:hAnsi="宋体" w:eastAsia="宋体"/>
        </w:rPr>
      </w:pPr>
      <w:bookmarkStart w:id="364" w:name="_Toc1981"/>
      <w:r>
        <w:rPr>
          <w:rFonts w:hint="eastAsia" w:ascii="宋体" w:hAnsi="宋体" w:eastAsia="宋体"/>
        </w:rPr>
        <w:t>司法鉴定机构受理投诉后，应及时登记，登记内容包括投诉人及其代理人的姓名或者名称、性别、身份证号码、职业、住址、联系方式，被投诉人的姓名或者名称、投诉事项、投诉请求、投诉理由以及相关证明材料目录，投诉方式和时间等信息，并上报司法鉴定机构负责人。</w:t>
      </w:r>
      <w:bookmarkEnd w:id="364"/>
    </w:p>
    <w:p>
      <w:pPr>
        <w:pStyle w:val="84"/>
        <w:spacing w:before="156" w:after="156"/>
        <w:ind w:left="0"/>
        <w:rPr>
          <w:rFonts w:hint="eastAsia" w:ascii="宋体" w:hAnsi="宋体" w:eastAsia="宋体"/>
        </w:rPr>
      </w:pPr>
      <w:bookmarkStart w:id="365" w:name="_Toc30756"/>
      <w:r>
        <w:rPr>
          <w:rFonts w:hint="eastAsia" w:ascii="宋体" w:hAnsi="宋体" w:eastAsia="宋体"/>
        </w:rPr>
        <w:t>司法鉴定机构应及时开展针对投诉事项的调查。调查应由两名以上的工作人员进行，负责、参与调查的人员，以及投诉人进行沟通并达成处理结果的人员，包括对此结果进行审核和批准的人员都不应与该投诉所涉及的工作存在关联。</w:t>
      </w:r>
      <w:bookmarkEnd w:id="365"/>
    </w:p>
    <w:p>
      <w:pPr>
        <w:pStyle w:val="84"/>
        <w:spacing w:before="156" w:after="156"/>
        <w:ind w:left="0"/>
        <w:rPr>
          <w:rFonts w:hint="eastAsia" w:ascii="宋体" w:hAnsi="宋体" w:eastAsia="宋体"/>
        </w:rPr>
      </w:pPr>
      <w:bookmarkStart w:id="366" w:name="_Toc29403"/>
      <w:r>
        <w:rPr>
          <w:rFonts w:hint="eastAsia" w:ascii="宋体" w:hAnsi="宋体" w:eastAsia="宋体"/>
        </w:rPr>
        <w:t>对投诉的受理、确认、调查及处理过程应进行书面记录并签名存档。有条件时，可辅以同步录像记录。</w:t>
      </w:r>
      <w:bookmarkEnd w:id="366"/>
    </w:p>
    <w:p>
      <w:pPr>
        <w:pStyle w:val="84"/>
        <w:spacing w:before="156" w:after="156"/>
        <w:ind w:left="0"/>
        <w:rPr>
          <w:rFonts w:hint="eastAsia" w:ascii="宋体" w:hAnsi="宋体" w:eastAsia="宋体"/>
        </w:rPr>
      </w:pPr>
      <w:bookmarkStart w:id="367" w:name="_Toc8162"/>
      <w:r>
        <w:rPr>
          <w:rFonts w:hint="eastAsia" w:ascii="宋体" w:hAnsi="宋体" w:eastAsia="宋体"/>
        </w:rPr>
        <w:t>司法鉴定机构应向投诉人告知投诉受理情况并提供处理进程的报告和处理结果。</w:t>
      </w:r>
      <w:bookmarkEnd w:id="367"/>
    </w:p>
    <w:p>
      <w:pPr>
        <w:pStyle w:val="84"/>
        <w:spacing w:before="156" w:after="156"/>
        <w:ind w:left="0"/>
        <w:rPr>
          <w:rFonts w:hint="eastAsia" w:ascii="宋体" w:hAnsi="宋体" w:eastAsia="宋体"/>
        </w:rPr>
      </w:pPr>
      <w:bookmarkStart w:id="368" w:name="_Toc32372"/>
      <w:r>
        <w:rPr>
          <w:rFonts w:hint="eastAsia" w:ascii="宋体" w:hAnsi="宋体" w:eastAsia="宋体"/>
        </w:rPr>
        <w:t>对于司法行政机关受理的投诉，司法鉴定机构、司法鉴定人应配合司法行政机关的调查工作。在司法行政机关要求的期限内如实陈述事实、提供有关材料，不得提供虚假、伪造的材料或者隐匿、毁损、涂改有关证据材料。</w:t>
      </w:r>
      <w:bookmarkEnd w:id="368"/>
    </w:p>
    <w:p>
      <w:pPr>
        <w:pStyle w:val="40"/>
        <w:ind w:firstLine="420"/>
        <w:jc w:val="center"/>
        <w:rPr>
          <w:rFonts w:hint="eastAsia"/>
        </w:rPr>
      </w:pPr>
      <w:r>
        <w:rPr>
          <w:rFonts w:ascii="宋体" w:hAnsi="Times New Roman" w:eastAsia="宋体" w:cs="Times New Roman"/>
          <w:sz w:val="21"/>
          <w:lang w:val="en-US" w:eastAsia="zh-CN" w:bidi="ar-SA"/>
        </w:rPr>
        <w:pict>
          <v:shape id="图片 4" o:spid="_x0000_s1035" type="#_x0000_t75" style="height:608.7pt;width:246.25pt;rotation:0f;" o:ole="f" fillcolor="#FFFFFF" filled="f" o:preferrelative="t" stroked="f" coordorigin="0,0" coordsize="21600,21600">
            <v:fill on="f" color2="#FFFFFF" focus="0%"/>
            <v:imagedata gain="65536f" blacklevel="0f" gamma="0" o:title="" r:id="rId16"/>
            <o:lock v:ext="edit" position="f" selection="f" grouping="f" rotation="f" cropping="f" text="f" aspectratio="t"/>
            <w10:wrap type="none"/>
            <w10:anchorlock/>
          </v:shape>
        </w:pict>
      </w:r>
    </w:p>
    <w:p>
      <w:pPr>
        <w:pStyle w:val="93"/>
        <w:spacing w:before="156" w:after="156"/>
        <w:rPr>
          <w:rFonts w:hint="eastAsia"/>
        </w:rPr>
      </w:pPr>
      <w:r>
        <w:rPr>
          <w:rFonts w:hint="eastAsia"/>
        </w:rPr>
        <w:t>微量物证司法鉴定工作流程示意图</w:t>
      </w:r>
    </w:p>
    <w:p>
      <w:pPr>
        <w:pStyle w:val="40"/>
        <w:ind w:firstLine="420"/>
        <w:sectPr>
          <w:pgSz w:w="11906" w:h="16838"/>
          <w:pgMar w:top="2410" w:right="1134" w:bottom="1134" w:left="1134" w:header="1418" w:footer="1134" w:gutter="284"/>
          <w:pgNumType w:start="1"/>
          <w:cols w:space="720" w:num="1"/>
          <w:formProt w:val="0"/>
          <w:docGrid w:type="lines" w:linePitch="312" w:charSpace="0"/>
        </w:sectPr>
      </w:pPr>
    </w:p>
    <w:bookmarkEnd w:id="27"/>
    <w:p>
      <w:pPr>
        <w:pStyle w:val="172"/>
      </w:pPr>
      <w:bookmarkStart w:id="369" w:name="BookMark5"/>
    </w:p>
    <w:p>
      <w:pPr>
        <w:pStyle w:val="173"/>
      </w:pPr>
    </w:p>
    <w:p>
      <w:pPr>
        <w:pStyle w:val="59"/>
        <w:spacing w:before="78" w:after="156"/>
        <w:rPr>
          <w:rFonts w:hint="eastAsia"/>
        </w:rPr>
      </w:pPr>
      <w:bookmarkStart w:id="370" w:name="_Toc14905"/>
      <w:bookmarkStart w:id="371" w:name="_Toc9876"/>
      <w:r>
        <w:br/>
      </w:r>
      <w:r>
        <w:rPr>
          <w:rFonts w:hint="eastAsia"/>
        </w:rPr>
        <w:t>（资料性）</w:t>
      </w:r>
      <w:r>
        <w:br/>
      </w:r>
      <w:r>
        <w:rPr>
          <w:rFonts w:hint="eastAsia"/>
        </w:rPr>
        <w:t>各专业领域微量物证执业鉴定范围</w:t>
      </w:r>
      <w:bookmarkEnd w:id="370"/>
      <w:bookmarkEnd w:id="371"/>
    </w:p>
    <w:p>
      <w:pPr>
        <w:pStyle w:val="60"/>
        <w:spacing w:before="156" w:after="156"/>
      </w:pPr>
      <w:r>
        <w:rPr>
          <w:rFonts w:hint="eastAsia"/>
        </w:rPr>
        <w:t>化工产品类鉴定</w:t>
      </w:r>
    </w:p>
    <w:tbl>
      <w:tblPr>
        <w:tblW w:w="9746"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1559"/>
        <w:gridCol w:w="623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480" w:hRule="atLeast"/>
        </w:trPr>
        <w:tc>
          <w:tcPr>
            <w:tcW w:w="1951" w:type="dxa"/>
            <w:vAlign w:val="center"/>
          </w:tcPr>
          <w:p>
            <w:pPr>
              <w:widowControl/>
              <w:spacing w:line="300" w:lineRule="auto"/>
              <w:jc w:val="center"/>
              <w:textAlignment w:val="center"/>
              <w:rPr>
                <w:rFonts w:ascii="宋体" w:hAnsi="宋体" w:cs="宋体"/>
                <w:color w:val="000000"/>
              </w:rPr>
            </w:pPr>
            <w:r>
              <w:rPr>
                <w:rFonts w:hint="eastAsia" w:ascii="宋体" w:hAnsi="宋体" w:cs="宋体"/>
                <w:color w:val="000000"/>
                <w:kern w:val="0"/>
              </w:rPr>
              <w:t>微量物证执业范围</w:t>
            </w:r>
          </w:p>
        </w:tc>
        <w:tc>
          <w:tcPr>
            <w:tcW w:w="7795" w:type="dxa"/>
            <w:gridSpan w:val="2"/>
            <w:vAlign w:val="center"/>
          </w:tcPr>
          <w:p>
            <w:pPr>
              <w:widowControl/>
              <w:spacing w:line="300" w:lineRule="auto"/>
              <w:jc w:val="center"/>
              <w:textAlignment w:val="center"/>
              <w:rPr>
                <w:rFonts w:ascii="宋体" w:hAnsi="宋体" w:cs="宋体"/>
                <w:color w:val="000000"/>
                <w:kern w:val="0"/>
              </w:rPr>
            </w:pPr>
            <w:r>
              <w:rPr>
                <w:rFonts w:hint="eastAsia" w:ascii="宋体" w:hAnsi="宋体" w:cs="宋体"/>
                <w:color w:val="000000"/>
                <w:kern w:val="0"/>
              </w:rPr>
              <w:t>各专业领域执业鉴定范围</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3777" w:hRule="atLeast"/>
        </w:trPr>
        <w:tc>
          <w:tcPr>
            <w:tcW w:w="1951" w:type="dxa"/>
            <w:vMerge w:val="restart"/>
            <w:vAlign w:val="center"/>
          </w:tcPr>
          <w:p>
            <w:pPr>
              <w:widowControl/>
              <w:spacing w:line="300" w:lineRule="auto"/>
              <w:jc w:val="left"/>
              <w:textAlignment w:val="center"/>
              <w:rPr>
                <w:rStyle w:val="232"/>
                <w:rFonts w:ascii="宋体" w:hAnsi="宋体"/>
                <w:color w:val="auto"/>
              </w:rPr>
            </w:pPr>
            <w:r>
              <w:rPr>
                <w:rStyle w:val="233"/>
                <w:rFonts w:hint="default"/>
                <w:color w:val="auto"/>
              </w:rPr>
              <w:t>化工产品类鉴定</w:t>
            </w:r>
          </w:p>
          <w:p>
            <w:pPr>
              <w:widowControl/>
              <w:spacing w:line="300" w:lineRule="auto"/>
              <w:jc w:val="left"/>
              <w:textAlignment w:val="center"/>
              <w:rPr>
                <w:rFonts w:cs="宋体"/>
              </w:rPr>
            </w:pPr>
            <w:r>
              <w:rPr>
                <w:rStyle w:val="233"/>
                <w:rFonts w:hint="default"/>
                <w:color w:val="auto"/>
              </w:rPr>
              <w:t>（塑料、橡胶、涂料（油漆）、玻璃、陶瓷、胶黏剂、</w:t>
            </w:r>
            <w:r>
              <w:rPr>
                <w:rStyle w:val="231"/>
                <w:rFonts w:hint="default"/>
                <w:color w:val="auto"/>
              </w:rPr>
              <w:t>填料、化学试剂以及化工原料、化工中间体、</w:t>
            </w:r>
            <w:r>
              <w:rPr>
                <w:rStyle w:val="233"/>
                <w:rFonts w:hint="default"/>
                <w:color w:val="auto"/>
              </w:rPr>
              <w:t>化工成品等的物理性质、化学性质和成分组成的检验检测，以及上述材料的比较检验和种类判别。）</w:t>
            </w:r>
          </w:p>
        </w:tc>
        <w:tc>
          <w:tcPr>
            <w:tcW w:w="1559" w:type="dxa"/>
            <w:vAlign w:val="center"/>
          </w:tcPr>
          <w:p>
            <w:pPr>
              <w:widowControl/>
              <w:spacing w:line="300" w:lineRule="auto"/>
              <w:jc w:val="center"/>
              <w:textAlignment w:val="center"/>
              <w:rPr>
                <w:rFonts w:ascii="宋体" w:hAnsi="宋体" w:cs="宋体"/>
              </w:rPr>
            </w:pPr>
            <w:r>
              <w:rPr>
                <w:rFonts w:hint="eastAsia" w:ascii="宋体" w:hAnsi="宋体" w:cs="宋体"/>
                <w:kern w:val="0"/>
              </w:rPr>
              <w:t>建材</w:t>
            </w:r>
          </w:p>
        </w:tc>
        <w:tc>
          <w:tcPr>
            <w:tcW w:w="6236" w:type="dxa"/>
            <w:vAlign w:val="top"/>
          </w:tcPr>
          <w:p>
            <w:pPr>
              <w:widowControl/>
              <w:spacing w:line="300" w:lineRule="auto"/>
              <w:jc w:val="left"/>
              <w:textAlignment w:val="center"/>
              <w:rPr>
                <w:rFonts w:ascii="宋体" w:hAnsi="宋体" w:cs="宋体"/>
                <w:kern w:val="0"/>
              </w:rPr>
            </w:pPr>
            <w:r>
              <w:rPr>
                <w:rFonts w:hint="eastAsia" w:ascii="宋体" w:hAnsi="宋体" w:cs="宋体"/>
                <w:kern w:val="0"/>
              </w:rPr>
              <w:t>膜材、型材、塑料管材管件、阀门、软管、电线电缆</w:t>
            </w:r>
            <w:r>
              <w:rPr>
                <w:rStyle w:val="230"/>
                <w:rFonts w:hint="default"/>
                <w:color w:val="auto"/>
              </w:rPr>
              <w:t>绝缘层与护套、</w:t>
            </w:r>
            <w:r>
              <w:rPr>
                <w:rStyle w:val="233"/>
                <w:rFonts w:hint="default"/>
                <w:color w:val="auto"/>
              </w:rPr>
              <w:t>通信电缆</w:t>
            </w:r>
            <w:r>
              <w:rPr>
                <w:rStyle w:val="230"/>
                <w:rFonts w:hint="default"/>
                <w:color w:val="auto"/>
              </w:rPr>
              <w:t>绝缘层与护套、</w:t>
            </w:r>
            <w:r>
              <w:rPr>
                <w:rStyle w:val="233"/>
                <w:rFonts w:hint="default"/>
                <w:color w:val="auto"/>
              </w:rPr>
              <w:t>电工套管和电缆导管、电线槽与桥架、</w:t>
            </w:r>
            <w:r>
              <w:rPr>
                <w:rFonts w:hint="eastAsia" w:ascii="宋体" w:hAnsi="宋体" w:cs="宋体"/>
                <w:kern w:val="0"/>
              </w:rPr>
              <w:t>开关、插头、插座、外墙保温用锚栓、土工合成材料、安全帽</w:t>
            </w:r>
          </w:p>
          <w:p>
            <w:pPr>
              <w:widowControl/>
              <w:spacing w:line="300" w:lineRule="auto"/>
              <w:jc w:val="left"/>
              <w:textAlignment w:val="center"/>
              <w:rPr>
                <w:rFonts w:hint="eastAsia" w:ascii="宋体" w:hAnsi="宋体" w:cs="宋体"/>
                <w:kern w:val="0"/>
              </w:rPr>
            </w:pPr>
            <w:r>
              <w:rPr>
                <w:rFonts w:hint="eastAsia" w:ascii="宋体" w:hAnsi="宋体" w:cs="宋体"/>
                <w:kern w:val="0"/>
              </w:rPr>
              <w:t>止水带、海绵橡胶密封条、桥梁支座、桥梁伸缩装置</w:t>
            </w:r>
          </w:p>
          <w:p>
            <w:pPr>
              <w:widowControl/>
              <w:spacing w:line="300" w:lineRule="auto"/>
              <w:jc w:val="left"/>
              <w:textAlignment w:val="center"/>
              <w:rPr>
                <w:rFonts w:hint="eastAsia" w:ascii="宋体" w:hAnsi="宋体" w:cs="宋体"/>
                <w:kern w:val="0"/>
              </w:rPr>
            </w:pPr>
            <w:r>
              <w:rPr>
                <w:rFonts w:hint="eastAsia" w:ascii="宋体" w:hAnsi="宋体" w:cs="宋体"/>
                <w:kern w:val="0"/>
              </w:rPr>
              <w:t>建筑涂料及辅助材料、防水涂料、防火涂料、防腐涂料</w:t>
            </w:r>
          </w:p>
          <w:p>
            <w:pPr>
              <w:widowControl/>
              <w:spacing w:line="300" w:lineRule="auto"/>
              <w:jc w:val="left"/>
              <w:textAlignment w:val="center"/>
              <w:rPr>
                <w:rFonts w:hint="eastAsia" w:ascii="宋体" w:hAnsi="宋体" w:cs="宋体"/>
                <w:kern w:val="0"/>
              </w:rPr>
            </w:pPr>
            <w:r>
              <w:rPr>
                <w:rFonts w:hint="eastAsia" w:ascii="宋体" w:hAnsi="宋体" w:cs="宋体"/>
                <w:kern w:val="0"/>
              </w:rPr>
              <w:t>玻璃</w:t>
            </w:r>
          </w:p>
          <w:p>
            <w:pPr>
              <w:widowControl/>
              <w:spacing w:line="300" w:lineRule="auto"/>
              <w:jc w:val="left"/>
              <w:textAlignment w:val="center"/>
              <w:rPr>
                <w:rFonts w:hint="eastAsia" w:ascii="宋体" w:hAnsi="宋体" w:cs="宋体"/>
                <w:kern w:val="0"/>
              </w:rPr>
            </w:pPr>
            <w:r>
              <w:rPr>
                <w:rFonts w:hint="eastAsia" w:ascii="宋体" w:hAnsi="宋体" w:cs="宋体"/>
                <w:kern w:val="0"/>
              </w:rPr>
              <w:t>陶瓷砖、陶瓷板</w:t>
            </w:r>
          </w:p>
          <w:p>
            <w:pPr>
              <w:widowControl/>
              <w:spacing w:line="300" w:lineRule="auto"/>
              <w:jc w:val="left"/>
              <w:textAlignment w:val="center"/>
              <w:rPr>
                <w:rFonts w:hint="eastAsia" w:ascii="宋体" w:hAnsi="宋体" w:cs="宋体"/>
                <w:kern w:val="0"/>
              </w:rPr>
            </w:pPr>
            <w:r>
              <w:rPr>
                <w:rFonts w:hint="eastAsia" w:ascii="宋体" w:hAnsi="宋体"/>
                <w:kern w:val="0"/>
              </w:rPr>
              <w:t>粘结材料、</w:t>
            </w:r>
            <w:r>
              <w:rPr>
                <w:rFonts w:hint="eastAsia" w:ascii="宋体" w:hAnsi="宋体" w:cs="宋体"/>
                <w:kern w:val="0"/>
              </w:rPr>
              <w:t>填缝剂</w:t>
            </w:r>
          </w:p>
          <w:p>
            <w:pPr>
              <w:widowControl/>
              <w:spacing w:line="300" w:lineRule="auto"/>
              <w:jc w:val="left"/>
              <w:textAlignment w:val="center"/>
              <w:rPr>
                <w:rFonts w:hint="eastAsia" w:ascii="宋体" w:hAnsi="宋体" w:cs="宋体"/>
                <w:kern w:val="0"/>
              </w:rPr>
            </w:pPr>
            <w:r>
              <w:rPr>
                <w:rFonts w:hint="eastAsia" w:ascii="宋体" w:hAnsi="宋体" w:cs="宋体"/>
                <w:kern w:val="0"/>
              </w:rPr>
              <w:t>轻骨料</w:t>
            </w:r>
          </w:p>
          <w:p>
            <w:pPr>
              <w:widowControl/>
              <w:spacing w:line="300" w:lineRule="auto"/>
              <w:jc w:val="left"/>
              <w:textAlignment w:val="center"/>
              <w:rPr>
                <w:rFonts w:ascii="宋体" w:hAnsi="宋体" w:cs="宋体"/>
                <w:kern w:val="0"/>
              </w:rPr>
            </w:pPr>
            <w:r>
              <w:rPr>
                <w:rFonts w:hint="eastAsia" w:ascii="宋体" w:hAnsi="宋体" w:cs="宋体"/>
                <w:kern w:val="0"/>
              </w:rPr>
              <w:t>水泥、</w:t>
            </w:r>
            <w:r>
              <w:rPr>
                <w:rStyle w:val="233"/>
                <w:rFonts w:hint="default"/>
                <w:color w:val="auto"/>
              </w:rPr>
              <w:t>外加剂、掺合料、</w:t>
            </w:r>
            <w:r>
              <w:rPr>
                <w:rFonts w:hint="eastAsia" w:ascii="宋体" w:hAnsi="宋体" w:cs="宋体"/>
                <w:kern w:val="0"/>
              </w:rPr>
              <w:t>混凝土、砂浆、合成材料运动场地面层、合成材料运动场地面层原材料、</w:t>
            </w:r>
            <w:r>
              <w:rPr>
                <w:rStyle w:val="233"/>
                <w:rFonts w:hint="default"/>
                <w:color w:val="auto"/>
              </w:rPr>
              <w:t>壁纸辅助材料、保温材料、</w:t>
            </w:r>
            <w:r>
              <w:rPr>
                <w:rFonts w:hint="eastAsia" w:ascii="宋体" w:hAnsi="宋体" w:cs="宋体"/>
                <w:kern w:val="0"/>
              </w:rPr>
              <w:t>密封材料、</w:t>
            </w:r>
            <w:r>
              <w:rPr>
                <w:rStyle w:val="233"/>
                <w:rFonts w:hint="default"/>
                <w:color w:val="auto"/>
              </w:rPr>
              <w:t>沥青、</w:t>
            </w:r>
            <w:r>
              <w:rPr>
                <w:rFonts w:hint="eastAsia" w:ascii="宋体" w:hAnsi="宋体" w:cs="宋体"/>
                <w:kern w:val="0"/>
              </w:rPr>
              <w:t>沥青混合料等</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trPr>
        <w:tc>
          <w:tcPr>
            <w:tcW w:w="1951" w:type="dxa"/>
            <w:vMerge w:val="continue"/>
            <w:shd w:val="clear" w:color="auto" w:fill="auto"/>
            <w:vAlign w:val="center"/>
          </w:tcPr>
          <w:p>
            <w:pPr>
              <w:widowControl/>
              <w:adjustRightInd/>
              <w:spacing w:line="300" w:lineRule="auto"/>
              <w:jc w:val="left"/>
              <w:rPr>
                <w:rFonts w:cs="宋体"/>
              </w:rPr>
            </w:pPr>
          </w:p>
        </w:tc>
        <w:tc>
          <w:tcPr>
            <w:tcW w:w="1559" w:type="dxa"/>
            <w:shd w:val="clear" w:color="auto" w:fill="auto"/>
            <w:vAlign w:val="center"/>
          </w:tcPr>
          <w:p>
            <w:pPr>
              <w:widowControl/>
              <w:spacing w:line="300" w:lineRule="auto"/>
              <w:jc w:val="center"/>
              <w:textAlignment w:val="center"/>
              <w:rPr>
                <w:rFonts w:ascii="宋体" w:hAnsi="宋体" w:cs="宋体"/>
              </w:rPr>
            </w:pPr>
            <w:r>
              <w:rPr>
                <w:rFonts w:hint="eastAsia" w:ascii="宋体" w:hAnsi="宋体" w:cs="宋体"/>
                <w:kern w:val="0"/>
              </w:rPr>
              <w:t>食品</w:t>
            </w:r>
          </w:p>
        </w:tc>
        <w:tc>
          <w:tcPr>
            <w:tcW w:w="6236" w:type="dxa"/>
            <w:shd w:val="clear" w:color="auto" w:fill="FFFFFF"/>
            <w:vAlign w:val="top"/>
          </w:tcPr>
          <w:p>
            <w:pPr>
              <w:widowControl/>
              <w:spacing w:line="300" w:lineRule="auto"/>
              <w:jc w:val="left"/>
              <w:textAlignment w:val="center"/>
              <w:rPr>
                <w:rFonts w:ascii="宋体" w:hAnsi="宋体" w:cs="宋体"/>
                <w:kern w:val="0"/>
              </w:rPr>
            </w:pPr>
            <w:r>
              <w:rPr>
                <w:rFonts w:hint="eastAsia" w:ascii="宋体" w:hAnsi="宋体" w:cs="宋体"/>
                <w:kern w:val="0"/>
              </w:rPr>
              <w:t>直接接触食品的塑料材料及制品</w:t>
            </w:r>
          </w:p>
          <w:p>
            <w:pPr>
              <w:widowControl/>
              <w:spacing w:line="300" w:lineRule="auto"/>
              <w:jc w:val="left"/>
              <w:textAlignment w:val="center"/>
              <w:rPr>
                <w:rFonts w:hint="eastAsia" w:ascii="宋体" w:hAnsi="宋体" w:cs="宋体"/>
                <w:kern w:val="0"/>
              </w:rPr>
            </w:pPr>
            <w:r>
              <w:rPr>
                <w:rFonts w:hint="eastAsia" w:ascii="宋体" w:hAnsi="宋体" w:cs="宋体"/>
                <w:kern w:val="0"/>
              </w:rPr>
              <w:t>食品接触用橡胶材料及制品</w:t>
            </w:r>
          </w:p>
          <w:p>
            <w:pPr>
              <w:widowControl/>
              <w:spacing w:line="300" w:lineRule="auto"/>
              <w:jc w:val="left"/>
              <w:textAlignment w:val="center"/>
              <w:rPr>
                <w:rFonts w:hint="eastAsia" w:ascii="宋体" w:hAnsi="宋体" w:cs="宋体"/>
                <w:kern w:val="0"/>
              </w:rPr>
            </w:pPr>
            <w:r>
              <w:rPr>
                <w:rFonts w:hint="eastAsia" w:ascii="宋体" w:hAnsi="宋体" w:cs="宋体"/>
                <w:kern w:val="0"/>
              </w:rPr>
              <w:t>直接接触食品的玻璃材料及制品</w:t>
            </w:r>
          </w:p>
          <w:p>
            <w:pPr>
              <w:widowControl/>
              <w:spacing w:line="300" w:lineRule="auto"/>
              <w:jc w:val="left"/>
              <w:textAlignment w:val="center"/>
              <w:rPr>
                <w:rFonts w:hint="eastAsia" w:ascii="宋体" w:hAnsi="宋体" w:cs="宋体"/>
                <w:kern w:val="0"/>
              </w:rPr>
            </w:pPr>
            <w:r>
              <w:rPr>
                <w:rFonts w:hint="eastAsia" w:ascii="宋体" w:hAnsi="宋体" w:cs="宋体"/>
                <w:kern w:val="0"/>
              </w:rPr>
              <w:t>直接接触食品的陶瓷材料及制品</w:t>
            </w:r>
          </w:p>
          <w:p>
            <w:pPr>
              <w:widowControl/>
              <w:spacing w:line="300" w:lineRule="auto"/>
              <w:jc w:val="left"/>
              <w:textAlignment w:val="center"/>
              <w:rPr>
                <w:rFonts w:ascii="宋体" w:hAnsi="宋体" w:cs="宋体"/>
              </w:rPr>
            </w:pPr>
            <w:r>
              <w:rPr>
                <w:rFonts w:hint="eastAsia" w:ascii="宋体" w:hAnsi="宋体" w:cs="宋体"/>
                <w:kern w:val="0"/>
              </w:rPr>
              <w:t>食品中添加剂</w:t>
            </w:r>
            <w:r>
              <w:rPr>
                <w:rFonts w:hint="eastAsia" w:ascii="宋体" w:hAnsi="宋体" w:cs="宋体"/>
                <w:kern w:val="0"/>
                <w:shd w:val="clear" w:color="auto" w:fill="FFFFFF"/>
              </w:rPr>
              <w:t>等</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1951" w:type="dxa"/>
            <w:vMerge w:val="continue"/>
            <w:shd w:val="clear" w:color="auto" w:fill="auto"/>
            <w:vAlign w:val="center"/>
          </w:tcPr>
          <w:p>
            <w:pPr>
              <w:widowControl/>
              <w:adjustRightInd/>
              <w:spacing w:line="300" w:lineRule="auto"/>
              <w:jc w:val="left"/>
              <w:rPr>
                <w:rFonts w:cs="宋体"/>
              </w:rPr>
            </w:pPr>
          </w:p>
        </w:tc>
        <w:tc>
          <w:tcPr>
            <w:tcW w:w="1559" w:type="dxa"/>
            <w:shd w:val="clear" w:color="auto" w:fill="auto"/>
            <w:vAlign w:val="center"/>
          </w:tcPr>
          <w:p>
            <w:pPr>
              <w:widowControl/>
              <w:spacing w:line="300" w:lineRule="auto"/>
              <w:jc w:val="center"/>
              <w:textAlignment w:val="center"/>
              <w:rPr>
                <w:rFonts w:ascii="宋体" w:hAnsi="宋体" w:cs="宋体"/>
                <w:kern w:val="0"/>
              </w:rPr>
            </w:pPr>
            <w:r>
              <w:rPr>
                <w:rFonts w:hint="eastAsia" w:ascii="宋体" w:hAnsi="宋体" w:cs="宋体"/>
                <w:kern w:val="0"/>
              </w:rPr>
              <w:t>卫生计生</w:t>
            </w:r>
          </w:p>
        </w:tc>
        <w:tc>
          <w:tcPr>
            <w:tcW w:w="6236" w:type="dxa"/>
            <w:shd w:val="clear" w:color="auto" w:fill="FFFFFF"/>
            <w:vAlign w:val="center"/>
          </w:tcPr>
          <w:p>
            <w:pPr>
              <w:spacing w:line="300" w:lineRule="auto"/>
              <w:jc w:val="left"/>
              <w:rPr>
                <w:rFonts w:ascii="宋体" w:hAnsi="宋体" w:cs="宋体"/>
                <w:kern w:val="0"/>
              </w:rPr>
            </w:pPr>
            <w:r>
              <w:rPr>
                <w:rFonts w:hint="eastAsia" w:ascii="宋体" w:hAnsi="宋体" w:cs="宋体"/>
                <w:kern w:val="0"/>
              </w:rPr>
              <w:t>药品包装材料、</w:t>
            </w:r>
            <w:r>
              <w:rPr>
                <w:rFonts w:hint="eastAsia" w:ascii="宋体" w:hAnsi="宋体" w:cs="宋体"/>
                <w:kern w:val="0"/>
                <w:shd w:val="clear" w:color="auto" w:fill="FFFFFF"/>
              </w:rPr>
              <w:t>肥料和土壤调理剂等</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1951" w:type="dxa"/>
            <w:vMerge w:val="continue"/>
            <w:shd w:val="clear" w:color="auto" w:fill="auto"/>
            <w:vAlign w:val="center"/>
          </w:tcPr>
          <w:p>
            <w:pPr>
              <w:widowControl/>
              <w:adjustRightInd/>
              <w:spacing w:line="300" w:lineRule="auto"/>
              <w:jc w:val="left"/>
              <w:rPr>
                <w:rFonts w:cs="宋体"/>
              </w:rPr>
            </w:pPr>
          </w:p>
        </w:tc>
        <w:tc>
          <w:tcPr>
            <w:tcW w:w="1559" w:type="dxa"/>
            <w:shd w:val="clear" w:color="auto" w:fill="auto"/>
            <w:vAlign w:val="center"/>
          </w:tcPr>
          <w:p>
            <w:pPr>
              <w:widowControl/>
              <w:spacing w:line="300" w:lineRule="auto"/>
              <w:jc w:val="center"/>
              <w:textAlignment w:val="center"/>
              <w:rPr>
                <w:rFonts w:ascii="宋体" w:hAnsi="宋体" w:cs="宋体"/>
                <w:kern w:val="0"/>
              </w:rPr>
            </w:pPr>
            <w:r>
              <w:rPr>
                <w:rFonts w:hint="eastAsia" w:ascii="宋体" w:hAnsi="宋体" w:cs="宋体"/>
                <w:kern w:val="0"/>
              </w:rPr>
              <w:t>农林牧鱼</w:t>
            </w:r>
          </w:p>
        </w:tc>
        <w:tc>
          <w:tcPr>
            <w:tcW w:w="6236" w:type="dxa"/>
            <w:shd w:val="clear" w:color="auto" w:fill="FFFFFF"/>
            <w:vAlign w:val="center"/>
          </w:tcPr>
          <w:p>
            <w:pPr>
              <w:widowControl/>
              <w:spacing w:line="300" w:lineRule="auto"/>
              <w:jc w:val="left"/>
              <w:textAlignment w:val="center"/>
              <w:rPr>
                <w:rFonts w:ascii="宋体" w:hAnsi="宋体" w:cs="宋体"/>
                <w:kern w:val="0"/>
              </w:rPr>
            </w:pPr>
            <w:r>
              <w:rPr>
                <w:rFonts w:hint="eastAsia" w:ascii="宋体" w:hAnsi="宋体" w:cs="宋体"/>
                <w:kern w:val="0"/>
                <w:shd w:val="clear" w:color="auto" w:fill="FFFFFF"/>
              </w:rPr>
              <w:t>农膜产品</w:t>
            </w:r>
            <w:r>
              <w:rPr>
                <w:rFonts w:hint="eastAsia" w:ascii="宋体" w:hAnsi="宋体" w:cs="宋体"/>
                <w:kern w:val="0"/>
              </w:rPr>
              <w:t>、农药产品、肥料产品、兽药产品等</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1951" w:type="dxa"/>
            <w:vMerge w:val="continue"/>
            <w:vAlign w:val="center"/>
          </w:tcPr>
          <w:p>
            <w:pPr>
              <w:widowControl/>
              <w:adjustRightInd/>
              <w:spacing w:line="300" w:lineRule="auto"/>
              <w:jc w:val="left"/>
              <w:rPr>
                <w:rFonts w:cs="宋体"/>
              </w:rPr>
            </w:pPr>
          </w:p>
        </w:tc>
        <w:tc>
          <w:tcPr>
            <w:tcW w:w="1559" w:type="dxa"/>
            <w:vAlign w:val="center"/>
          </w:tcPr>
          <w:p>
            <w:pPr>
              <w:widowControl/>
              <w:spacing w:line="300" w:lineRule="auto"/>
              <w:jc w:val="center"/>
              <w:textAlignment w:val="center"/>
              <w:rPr>
                <w:rFonts w:ascii="宋体" w:hAnsi="宋体" w:cs="宋体"/>
                <w:kern w:val="0"/>
              </w:rPr>
            </w:pPr>
            <w:r>
              <w:rPr>
                <w:rFonts w:hint="eastAsia" w:ascii="宋体" w:hAnsi="宋体" w:cs="宋体"/>
                <w:kern w:val="0"/>
              </w:rPr>
              <w:t>电子电气信息</w:t>
            </w:r>
          </w:p>
        </w:tc>
        <w:tc>
          <w:tcPr>
            <w:tcW w:w="6236" w:type="dxa"/>
            <w:vAlign w:val="center"/>
          </w:tcPr>
          <w:p>
            <w:pPr>
              <w:spacing w:line="300" w:lineRule="auto"/>
              <w:jc w:val="left"/>
              <w:rPr>
                <w:rFonts w:ascii="宋体" w:hAnsi="宋体" w:cs="宋体"/>
                <w:kern w:val="0"/>
              </w:rPr>
            </w:pPr>
            <w:r>
              <w:rPr>
                <w:rFonts w:hint="eastAsia" w:ascii="宋体" w:hAnsi="宋体" w:cs="宋体"/>
                <w:kern w:val="0"/>
              </w:rPr>
              <w:t>电池及材料等</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053" w:hRule="atLeast"/>
        </w:trPr>
        <w:tc>
          <w:tcPr>
            <w:tcW w:w="1951" w:type="dxa"/>
            <w:vMerge w:val="continue"/>
            <w:tcBorders>
              <w:bottom w:val="single" w:color="auto" w:sz="4" w:space="0"/>
            </w:tcBorders>
            <w:vAlign w:val="center"/>
          </w:tcPr>
          <w:p>
            <w:pPr>
              <w:widowControl/>
              <w:adjustRightInd/>
              <w:spacing w:line="300" w:lineRule="auto"/>
              <w:jc w:val="left"/>
              <w:rPr>
                <w:rFonts w:cs="宋体"/>
              </w:rPr>
            </w:pPr>
          </w:p>
        </w:tc>
        <w:tc>
          <w:tcPr>
            <w:tcW w:w="1559" w:type="dxa"/>
            <w:tcBorders>
              <w:bottom w:val="single" w:color="auto" w:sz="4" w:space="0"/>
            </w:tcBorders>
            <w:vAlign w:val="center"/>
          </w:tcPr>
          <w:p>
            <w:pPr>
              <w:widowControl/>
              <w:spacing w:line="300" w:lineRule="auto"/>
              <w:jc w:val="center"/>
              <w:textAlignment w:val="center"/>
              <w:rPr>
                <w:rFonts w:ascii="宋体" w:hAnsi="宋体" w:cs="宋体"/>
              </w:rPr>
            </w:pPr>
            <w:r>
              <w:rPr>
                <w:rFonts w:hint="eastAsia" w:ascii="宋体" w:hAnsi="宋体" w:cs="宋体"/>
                <w:kern w:val="0"/>
              </w:rPr>
              <w:t>轻工</w:t>
            </w:r>
          </w:p>
        </w:tc>
        <w:tc>
          <w:tcPr>
            <w:tcW w:w="6236" w:type="dxa"/>
            <w:tcBorders>
              <w:bottom w:val="single" w:color="auto" w:sz="4" w:space="0"/>
            </w:tcBorders>
            <w:vAlign w:val="top"/>
          </w:tcPr>
          <w:p>
            <w:pPr>
              <w:widowControl/>
              <w:spacing w:line="300" w:lineRule="auto"/>
              <w:jc w:val="left"/>
              <w:textAlignment w:val="center"/>
              <w:rPr>
                <w:rFonts w:ascii="宋体" w:hAnsi="宋体" w:cs="宋体"/>
                <w:kern w:val="0"/>
              </w:rPr>
            </w:pPr>
            <w:r>
              <w:rPr>
                <w:rFonts w:hint="eastAsia" w:ascii="宋体" w:hAnsi="宋体" w:cs="宋体"/>
                <w:kern w:val="0"/>
              </w:rPr>
              <w:t>包装材料及制品、光伏配件</w:t>
            </w:r>
          </w:p>
          <w:p>
            <w:pPr>
              <w:widowControl/>
              <w:spacing w:line="300" w:lineRule="auto"/>
              <w:jc w:val="left"/>
              <w:textAlignment w:val="center"/>
              <w:rPr>
                <w:rFonts w:ascii="宋体" w:hAnsi="宋体" w:cs="宋体"/>
                <w:kern w:val="0"/>
              </w:rPr>
            </w:pPr>
            <w:r>
              <w:rPr>
                <w:rFonts w:hint="eastAsia" w:ascii="宋体" w:hAnsi="宋体" w:cs="宋体"/>
                <w:kern w:val="0"/>
              </w:rPr>
              <w:t>（工业）橡塑制品</w:t>
            </w:r>
          </w:p>
          <w:p>
            <w:pPr>
              <w:widowControl/>
              <w:spacing w:line="300" w:lineRule="auto"/>
              <w:jc w:val="left"/>
              <w:textAlignment w:val="center"/>
              <w:rPr>
                <w:rFonts w:hint="eastAsia" w:ascii="宋体" w:hAnsi="宋体" w:cs="宋体"/>
                <w:kern w:val="0"/>
              </w:rPr>
            </w:pPr>
            <w:r>
              <w:rPr>
                <w:rFonts w:hint="eastAsia" w:ascii="宋体" w:hAnsi="宋体" w:cs="宋体"/>
                <w:kern w:val="0"/>
              </w:rPr>
              <w:t>涂料</w:t>
            </w:r>
          </w:p>
          <w:p>
            <w:pPr>
              <w:widowControl/>
              <w:spacing w:line="300" w:lineRule="auto"/>
              <w:jc w:val="left"/>
              <w:textAlignment w:val="center"/>
              <w:rPr>
                <w:rFonts w:hint="eastAsia" w:ascii="宋体" w:hAnsi="宋体" w:cs="宋体"/>
                <w:kern w:val="0"/>
              </w:rPr>
            </w:pPr>
            <w:r>
              <w:rPr>
                <w:rFonts w:hint="eastAsia" w:ascii="宋体" w:hAnsi="宋体" w:cs="宋体"/>
                <w:kern w:val="0"/>
              </w:rPr>
              <w:t>玻璃、光伏配件</w:t>
            </w:r>
          </w:p>
          <w:p>
            <w:pPr>
              <w:widowControl/>
              <w:spacing w:line="300" w:lineRule="auto"/>
              <w:jc w:val="left"/>
              <w:textAlignment w:val="center"/>
              <w:rPr>
                <w:rFonts w:hint="eastAsia" w:ascii="宋体" w:hAnsi="宋体" w:cs="宋体"/>
                <w:kern w:val="0"/>
              </w:rPr>
            </w:pPr>
            <w:r>
              <w:rPr>
                <w:rFonts w:hint="eastAsia" w:ascii="宋体" w:hAnsi="宋体" w:cs="宋体"/>
                <w:kern w:val="0"/>
              </w:rPr>
              <w:t>胶粘剂</w:t>
            </w:r>
          </w:p>
          <w:p>
            <w:pPr>
              <w:spacing w:line="300" w:lineRule="auto"/>
              <w:rPr>
                <w:rFonts w:ascii="宋体" w:hAnsi="宋体" w:cs="宋体"/>
                <w:kern w:val="0"/>
              </w:rPr>
            </w:pPr>
            <w:r>
              <w:rPr>
                <w:rFonts w:hint="eastAsia" w:ascii="宋体" w:hAnsi="宋体" w:cs="宋体"/>
                <w:kern w:val="0"/>
              </w:rPr>
              <w:t>农业生产资料等</w:t>
            </w:r>
          </w:p>
        </w:tc>
      </w:tr>
    </w:tbl>
    <w:p>
      <w:pPr>
        <w:pStyle w:val="60"/>
        <w:numPr>
          <w:ilvl w:val="1"/>
          <w:numId w:val="0"/>
        </w:numPr>
        <w:spacing w:before="156" w:after="156"/>
        <w:ind w:left="420"/>
      </w:pPr>
      <w:r>
        <w:rPr>
          <w:rFonts w:hint="eastAsia"/>
        </w:rPr>
        <w:t>表A.1化工产品类鉴定（续）</w:t>
      </w:r>
    </w:p>
    <w:tbl>
      <w:tblPr>
        <w:tblW w:w="974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1559"/>
        <w:gridCol w:w="62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951" w:type="dxa"/>
            <w:vMerge w:val="restart"/>
            <w:tcBorders>
              <w:top w:val="single" w:color="auto" w:sz="4" w:space="0"/>
              <w:left w:val="single" w:color="auto" w:sz="4" w:space="0"/>
              <w:bottom w:val="single" w:color="auto" w:sz="4" w:space="0"/>
              <w:right w:val="single" w:color="auto" w:sz="4" w:space="0"/>
            </w:tcBorders>
            <w:vAlign w:val="center"/>
          </w:tcPr>
          <w:p>
            <w:pPr>
              <w:widowControl/>
              <w:adjustRightInd/>
              <w:spacing w:line="300" w:lineRule="auto"/>
              <w:jc w:val="left"/>
              <w:rPr>
                <w:rFonts w:ascii="等线" w:hAnsi="等线" w:eastAsia="等线" w:cs="黑体"/>
                <w:sz w:val="18"/>
                <w:szCs w:val="18"/>
              </w:rPr>
            </w:pPr>
          </w:p>
        </w:tc>
        <w:tc>
          <w:tcPr>
            <w:tcW w:w="1559"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rPr>
            </w:pPr>
            <w:r>
              <w:rPr>
                <w:rFonts w:hint="eastAsia" w:ascii="宋体" w:hAnsi="宋体" w:cs="宋体"/>
                <w:kern w:val="0"/>
              </w:rPr>
              <w:t>纺织服装</w:t>
            </w:r>
          </w:p>
        </w:tc>
        <w:tc>
          <w:tcPr>
            <w:tcW w:w="6236"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医用辅料及其防护用品、特种防护用品等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95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spacing w:line="300" w:lineRule="auto"/>
              <w:jc w:val="left"/>
              <w:rPr>
                <w:rFonts w:ascii="等线" w:hAnsi="等线" w:eastAsia="等线" w:cs="黑体"/>
                <w:sz w:val="18"/>
                <w:szCs w:val="18"/>
              </w:rPr>
            </w:pPr>
          </w:p>
        </w:tc>
        <w:tc>
          <w:tcPr>
            <w:tcW w:w="1559"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rPr>
            </w:pPr>
            <w:r>
              <w:rPr>
                <w:rFonts w:hint="eastAsia" w:ascii="宋体" w:hAnsi="宋体" w:cs="宋体"/>
                <w:kern w:val="0"/>
              </w:rPr>
              <w:t>化工</w:t>
            </w:r>
          </w:p>
        </w:tc>
        <w:tc>
          <w:tcPr>
            <w:tcW w:w="6236"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涂料和颜料</w:t>
            </w:r>
          </w:p>
          <w:p>
            <w:pPr>
              <w:widowControl/>
              <w:spacing w:line="300" w:lineRule="auto"/>
              <w:jc w:val="left"/>
              <w:textAlignment w:val="center"/>
              <w:rPr>
                <w:rFonts w:hint="eastAsia" w:ascii="宋体" w:hAnsi="宋体" w:cs="宋体"/>
                <w:kern w:val="0"/>
              </w:rPr>
            </w:pPr>
            <w:r>
              <w:rPr>
                <w:rFonts w:hint="eastAsia" w:ascii="宋体" w:hAnsi="宋体" w:cs="宋体"/>
                <w:kern w:val="0"/>
              </w:rPr>
              <w:t>化学试剂</w:t>
            </w:r>
          </w:p>
          <w:p>
            <w:pPr>
              <w:widowControl/>
              <w:spacing w:line="300" w:lineRule="auto"/>
              <w:jc w:val="left"/>
              <w:textAlignment w:val="center"/>
              <w:rPr>
                <w:rFonts w:hint="eastAsia" w:ascii="宋体" w:hAnsi="宋体" w:cs="宋体"/>
                <w:kern w:val="0"/>
              </w:rPr>
            </w:pPr>
            <w:r>
              <w:rPr>
                <w:rFonts w:hint="eastAsia" w:ascii="宋体" w:hAnsi="宋体" w:cs="宋体"/>
                <w:kern w:val="0"/>
              </w:rPr>
              <w:t>无机化工原料、有机化工原料</w:t>
            </w:r>
          </w:p>
          <w:p>
            <w:pPr>
              <w:widowControl/>
              <w:spacing w:line="300" w:lineRule="auto"/>
              <w:jc w:val="left"/>
              <w:textAlignment w:val="center"/>
              <w:rPr>
                <w:rFonts w:hint="eastAsia" w:ascii="宋体" w:hAnsi="宋体" w:cs="宋体"/>
                <w:kern w:val="0"/>
              </w:rPr>
            </w:pPr>
            <w:r>
              <w:rPr>
                <w:rFonts w:hint="eastAsia" w:ascii="宋体" w:hAnsi="宋体" w:cs="宋体"/>
                <w:kern w:val="0"/>
              </w:rPr>
              <w:t>染料中间体、表面活性剂</w:t>
            </w:r>
          </w:p>
          <w:p>
            <w:pPr>
              <w:widowControl/>
              <w:spacing w:line="300" w:lineRule="auto"/>
              <w:jc w:val="left"/>
              <w:textAlignment w:val="center"/>
              <w:rPr>
                <w:rFonts w:ascii="宋体" w:hAnsi="宋体" w:cs="宋体"/>
                <w:kern w:val="0"/>
              </w:rPr>
            </w:pPr>
            <w:r>
              <w:rPr>
                <w:rFonts w:hint="eastAsia" w:ascii="宋体" w:hAnsi="宋体" w:cs="宋体"/>
                <w:kern w:val="0"/>
              </w:rPr>
              <w:t>农药、肥料、气体、无机化工产品、有机化工产品、燃料润滑剂、工业用油和相关产品、石油蜡、石油添加剂、消毒产品、染料、水处理剂等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95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spacing w:line="300" w:lineRule="auto"/>
              <w:jc w:val="left"/>
              <w:rPr>
                <w:rFonts w:ascii="等线" w:hAnsi="等线" w:eastAsia="等线" w:cs="黑体"/>
                <w:sz w:val="18"/>
                <w:szCs w:val="18"/>
              </w:rPr>
            </w:pPr>
          </w:p>
        </w:tc>
        <w:tc>
          <w:tcPr>
            <w:tcW w:w="1559" w:type="dxa"/>
            <w:tcBorders>
              <w:top w:val="single" w:color="auto" w:sz="4" w:space="0"/>
              <w:left w:val="single" w:color="auto" w:sz="4" w:space="0"/>
              <w:bottom w:val="single" w:color="auto" w:sz="4" w:space="0"/>
              <w:right w:val="single" w:color="auto" w:sz="4" w:space="0"/>
            </w:tcBorders>
            <w:vAlign w:val="center"/>
          </w:tcPr>
          <w:p>
            <w:pPr>
              <w:spacing w:line="300" w:lineRule="auto"/>
              <w:jc w:val="center"/>
              <w:rPr>
                <w:rFonts w:ascii="宋体" w:hAnsi="宋体"/>
              </w:rPr>
            </w:pPr>
            <w:r>
              <w:rPr>
                <w:rFonts w:hint="eastAsia" w:ascii="宋体" w:hAnsi="宋体" w:cs="宋体"/>
                <w:kern w:val="0"/>
              </w:rPr>
              <w:t>能源</w:t>
            </w:r>
          </w:p>
        </w:tc>
        <w:tc>
          <w:tcPr>
            <w:tcW w:w="6236"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润滑剂、润滑脂、工业用油、润滑油、石油添加剂、二甲醚、城镇燃气用二甲醚等</w:t>
            </w:r>
          </w:p>
        </w:tc>
      </w:tr>
    </w:tbl>
    <w:p>
      <w:pPr>
        <w:pStyle w:val="40"/>
        <w:spacing w:line="300" w:lineRule="auto"/>
        <w:ind w:firstLine="420"/>
        <w:jc w:val="center"/>
        <w:rPr>
          <w:rFonts w:hint="eastAsia" w:hAnsi="宋体" w:cs="宋体"/>
          <w:szCs w:val="21"/>
        </w:rPr>
      </w:pPr>
    </w:p>
    <w:p>
      <w:pPr>
        <w:pStyle w:val="40"/>
        <w:spacing w:line="300" w:lineRule="auto"/>
        <w:ind w:firstLine="420"/>
        <w:jc w:val="center"/>
        <w:rPr>
          <w:rFonts w:hAnsi="宋体" w:cs="宋体"/>
          <w:szCs w:val="21"/>
        </w:rPr>
      </w:pPr>
    </w:p>
    <w:p>
      <w:pPr>
        <w:pStyle w:val="60"/>
        <w:spacing w:before="0" w:after="0" w:line="300" w:lineRule="auto"/>
        <w:rPr>
          <w:rFonts w:hint="eastAsia"/>
        </w:rPr>
      </w:pPr>
      <w:r>
        <w:rPr>
          <w:rFonts w:hint="eastAsia"/>
        </w:rPr>
        <w:t>金属和矿物类鉴定</w:t>
      </w:r>
    </w:p>
    <w:tbl>
      <w:tblPr>
        <w:tblW w:w="974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1512"/>
        <w:gridCol w:w="62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9" w:hRule="atLeast"/>
        </w:trPr>
        <w:tc>
          <w:tcPr>
            <w:tcW w:w="1951"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kern w:val="0"/>
              </w:rPr>
            </w:pPr>
            <w:r>
              <w:rPr>
                <w:rFonts w:hint="eastAsia" w:ascii="宋体" w:hAnsi="宋体" w:cs="宋体"/>
                <w:kern w:val="0"/>
              </w:rPr>
              <w:t>微量物证执业范围</w:t>
            </w:r>
          </w:p>
        </w:tc>
        <w:tc>
          <w:tcPr>
            <w:tcW w:w="7793"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kern w:val="0"/>
              </w:rPr>
            </w:pPr>
            <w:r>
              <w:rPr>
                <w:rFonts w:hint="eastAsia" w:ascii="宋体" w:hAnsi="宋体" w:cs="宋体"/>
                <w:kern w:val="0"/>
              </w:rPr>
              <w:t>各专业领域执业鉴定范围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37" w:hRule="atLeast"/>
        </w:trPr>
        <w:tc>
          <w:tcPr>
            <w:tcW w:w="1951" w:type="dxa"/>
            <w:vMerge w:val="restart"/>
            <w:tcBorders>
              <w:top w:val="single" w:color="auto" w:sz="4" w:space="0"/>
              <w:left w:val="single" w:color="auto" w:sz="4" w:space="0"/>
              <w:right w:val="single" w:color="auto" w:sz="4" w:space="0"/>
            </w:tcBorders>
            <w:vAlign w:val="center"/>
          </w:tcPr>
          <w:p>
            <w:pPr>
              <w:widowControl/>
              <w:spacing w:line="300" w:lineRule="auto"/>
              <w:jc w:val="left"/>
              <w:textAlignment w:val="center"/>
              <w:rPr>
                <w:rFonts w:ascii="宋体" w:hAnsi="宋体" w:cs="宋体"/>
              </w:rPr>
            </w:pPr>
            <w:r>
              <w:rPr>
                <w:rStyle w:val="233"/>
                <w:rFonts w:hint="default"/>
                <w:color w:val="auto"/>
              </w:rPr>
              <w:t>金属和矿物类鉴定（金属、合金、泥土、砂石、灰尘等的物理性质、化学性质和成分组成的检验检测，以及上述材料的比较检验和种类判别。）</w:t>
            </w:r>
          </w:p>
        </w:tc>
        <w:tc>
          <w:tcPr>
            <w:tcW w:w="1512"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rPr>
            </w:pPr>
            <w:r>
              <w:rPr>
                <w:rFonts w:hint="eastAsia" w:ascii="宋体" w:hAnsi="宋体" w:cs="宋体"/>
                <w:kern w:val="0"/>
              </w:rPr>
              <w:t>建材</w:t>
            </w:r>
          </w:p>
        </w:tc>
        <w:tc>
          <w:tcPr>
            <w:tcW w:w="6281" w:type="dxa"/>
            <w:tcBorders>
              <w:top w:val="single" w:color="auto" w:sz="4" w:space="0"/>
              <w:left w:val="single" w:color="auto" w:sz="4" w:space="0"/>
              <w:bottom w:val="single" w:color="auto" w:sz="4" w:space="0"/>
              <w:right w:val="single" w:color="auto" w:sz="4" w:space="0"/>
            </w:tcBorders>
            <w:vAlign w:val="top"/>
          </w:tcPr>
          <w:p>
            <w:pPr>
              <w:widowControl/>
              <w:spacing w:line="300" w:lineRule="auto"/>
              <w:jc w:val="left"/>
              <w:textAlignment w:val="center"/>
              <w:rPr>
                <w:rFonts w:ascii="宋体" w:hAnsi="宋体" w:cs="宋体"/>
                <w:kern w:val="0"/>
              </w:rPr>
            </w:pPr>
            <w:r>
              <w:rPr>
                <w:rFonts w:hint="eastAsia" w:ascii="宋体" w:hAnsi="宋体" w:cs="宋体"/>
                <w:kern w:val="0"/>
              </w:rPr>
              <w:t>钢材及其制品、钢筋连接件、钢构件连接件、轻钢龙骨及配件、管材管件、阀门、桥梁支座、桥梁伸缩装置、检查井盖和雨水箅、钢管脚手架扣件、钢丝网、铜制品、铝制品、电线电缆线芯、通信电缆线芯、铜合金制品、铝合金制品、不锈钢制品、型材、五金件、电线槽和桥架</w:t>
            </w:r>
          </w:p>
          <w:p>
            <w:pPr>
              <w:widowControl/>
              <w:spacing w:line="300" w:lineRule="auto"/>
              <w:jc w:val="left"/>
              <w:textAlignment w:val="center"/>
              <w:rPr>
                <w:rFonts w:ascii="宋体" w:hAnsi="宋体" w:cs="宋体"/>
                <w:kern w:val="0"/>
              </w:rPr>
            </w:pPr>
            <w:r>
              <w:rPr>
                <w:rFonts w:hint="eastAsia" w:ascii="宋体" w:hAnsi="宋体" w:cs="宋体"/>
                <w:kern w:val="0"/>
              </w:rPr>
              <w:t>砂（细集料）、石（粗集料）、石料、集料等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951" w:type="dxa"/>
            <w:vMerge w:val="continue"/>
            <w:tcBorders>
              <w:left w:val="single" w:color="auto" w:sz="4" w:space="0"/>
              <w:right w:val="single" w:color="auto" w:sz="4" w:space="0"/>
            </w:tcBorders>
            <w:vAlign w:val="center"/>
          </w:tcPr>
          <w:p>
            <w:pPr>
              <w:widowControl/>
              <w:adjustRightInd/>
              <w:spacing w:line="300" w:lineRule="auto"/>
              <w:jc w:val="left"/>
              <w:rPr>
                <w:rFonts w:ascii="宋体" w:hAnsi="宋体" w:cs="宋体"/>
              </w:rPr>
            </w:pPr>
          </w:p>
        </w:tc>
        <w:tc>
          <w:tcPr>
            <w:tcW w:w="1512"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kern w:val="0"/>
              </w:rPr>
            </w:pPr>
            <w:r>
              <w:rPr>
                <w:rFonts w:hint="eastAsia" w:ascii="宋体" w:hAnsi="宋体" w:cs="宋体"/>
                <w:kern w:val="0"/>
              </w:rPr>
              <w:t>食品</w:t>
            </w:r>
          </w:p>
        </w:tc>
        <w:tc>
          <w:tcPr>
            <w:tcW w:w="6281" w:type="dxa"/>
            <w:tcBorders>
              <w:top w:val="single" w:color="auto" w:sz="4" w:space="0"/>
              <w:left w:val="single" w:color="auto" w:sz="4" w:space="0"/>
              <w:bottom w:val="single" w:color="auto" w:sz="4" w:space="0"/>
              <w:right w:val="single" w:color="auto" w:sz="4" w:space="0"/>
            </w:tcBorders>
            <w:vAlign w:val="center"/>
          </w:tcPr>
          <w:p>
            <w:pPr>
              <w:widowControl/>
              <w:spacing w:line="300" w:lineRule="auto"/>
              <w:textAlignment w:val="center"/>
              <w:rPr>
                <w:rFonts w:ascii="宋体" w:hAnsi="宋体" w:cs="宋体"/>
                <w:kern w:val="0"/>
              </w:rPr>
            </w:pPr>
            <w:r>
              <w:rPr>
                <w:rFonts w:hint="eastAsia" w:ascii="宋体" w:hAnsi="宋体" w:cs="宋体"/>
                <w:kern w:val="0"/>
              </w:rPr>
              <w:t>直接接触食品的金属材料及其制品等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951" w:type="dxa"/>
            <w:vMerge w:val="continue"/>
            <w:tcBorders>
              <w:left w:val="single" w:color="auto" w:sz="4" w:space="0"/>
              <w:right w:val="single" w:color="auto" w:sz="4" w:space="0"/>
            </w:tcBorders>
            <w:vAlign w:val="center"/>
          </w:tcPr>
          <w:p>
            <w:pPr>
              <w:widowControl/>
              <w:adjustRightInd/>
              <w:spacing w:line="300" w:lineRule="auto"/>
              <w:jc w:val="left"/>
              <w:rPr>
                <w:rFonts w:ascii="宋体" w:hAnsi="宋体" w:cs="宋体"/>
              </w:rPr>
            </w:pPr>
          </w:p>
        </w:tc>
        <w:tc>
          <w:tcPr>
            <w:tcW w:w="1512"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kern w:val="0"/>
              </w:rPr>
            </w:pPr>
            <w:r>
              <w:rPr>
                <w:rFonts w:hint="eastAsia" w:ascii="宋体" w:hAnsi="宋体" w:cs="宋体"/>
                <w:kern w:val="0"/>
              </w:rPr>
              <w:t>卫生计生</w:t>
            </w:r>
          </w:p>
        </w:tc>
        <w:tc>
          <w:tcPr>
            <w:tcW w:w="6281" w:type="dxa"/>
            <w:tcBorders>
              <w:top w:val="single" w:color="auto" w:sz="4" w:space="0"/>
              <w:left w:val="single" w:color="auto" w:sz="4" w:space="0"/>
              <w:bottom w:val="single" w:color="auto" w:sz="4" w:space="0"/>
              <w:right w:val="single" w:color="auto" w:sz="4" w:space="0"/>
            </w:tcBorders>
            <w:vAlign w:val="center"/>
          </w:tcPr>
          <w:p>
            <w:pPr>
              <w:spacing w:line="300" w:lineRule="auto"/>
              <w:rPr>
                <w:rFonts w:ascii="宋体" w:hAnsi="宋体" w:cs="宋体"/>
                <w:kern w:val="0"/>
              </w:rPr>
            </w:pPr>
            <w:r>
              <w:rPr>
                <w:rFonts w:hint="eastAsia" w:ascii="宋体" w:hAnsi="宋体" w:cs="宋体"/>
                <w:kern w:val="0"/>
              </w:rPr>
              <w:t>药品包装材料等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951" w:type="dxa"/>
            <w:vMerge w:val="continue"/>
            <w:tcBorders>
              <w:left w:val="single" w:color="auto" w:sz="4" w:space="0"/>
              <w:right w:val="single" w:color="auto" w:sz="4" w:space="0"/>
            </w:tcBorders>
            <w:vAlign w:val="top"/>
          </w:tcPr>
          <w:p>
            <w:pPr>
              <w:widowControl/>
              <w:spacing w:line="300" w:lineRule="auto"/>
              <w:jc w:val="center"/>
              <w:textAlignment w:val="center"/>
              <w:rPr>
                <w:rFonts w:ascii="宋体" w:hAnsi="宋体" w:cs="黑体"/>
              </w:rPr>
            </w:pPr>
          </w:p>
        </w:tc>
        <w:tc>
          <w:tcPr>
            <w:tcW w:w="1512"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kern w:val="0"/>
              </w:rPr>
            </w:pPr>
            <w:r>
              <w:rPr>
                <w:rFonts w:hint="eastAsia" w:ascii="宋体" w:hAnsi="宋体" w:cs="宋体"/>
                <w:kern w:val="0"/>
              </w:rPr>
              <w:t>农林牧鱼</w:t>
            </w:r>
          </w:p>
        </w:tc>
        <w:tc>
          <w:tcPr>
            <w:tcW w:w="6281" w:type="dxa"/>
            <w:tcBorders>
              <w:top w:val="single" w:color="auto" w:sz="4" w:space="0"/>
              <w:left w:val="single" w:color="auto" w:sz="4" w:space="0"/>
              <w:bottom w:val="single" w:color="auto" w:sz="4" w:space="0"/>
              <w:right w:val="single" w:color="auto" w:sz="4" w:space="0"/>
            </w:tcBorders>
            <w:vAlign w:val="center"/>
          </w:tcPr>
          <w:p>
            <w:pPr>
              <w:spacing w:line="300" w:lineRule="auto"/>
              <w:rPr>
                <w:rFonts w:ascii="宋体" w:hAnsi="宋体" w:cs="宋体"/>
                <w:kern w:val="0"/>
              </w:rPr>
            </w:pPr>
            <w:r>
              <w:rPr>
                <w:rFonts w:hint="eastAsia" w:ascii="宋体" w:hAnsi="宋体" w:cs="宋体"/>
                <w:kern w:val="0"/>
              </w:rPr>
              <w:t>农林土壤等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951" w:type="dxa"/>
            <w:vMerge w:val="continue"/>
            <w:tcBorders>
              <w:left w:val="single" w:color="auto" w:sz="4" w:space="0"/>
              <w:right w:val="single" w:color="auto" w:sz="4" w:space="0"/>
            </w:tcBorders>
            <w:vAlign w:val="center"/>
          </w:tcPr>
          <w:p>
            <w:pPr>
              <w:widowControl/>
              <w:adjustRightInd/>
              <w:spacing w:line="300" w:lineRule="auto"/>
              <w:jc w:val="left"/>
              <w:rPr>
                <w:rFonts w:ascii="宋体" w:hAnsi="宋体" w:cs="黑体"/>
              </w:rPr>
            </w:pPr>
          </w:p>
        </w:tc>
        <w:tc>
          <w:tcPr>
            <w:tcW w:w="1512"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kern w:val="0"/>
              </w:rPr>
            </w:pPr>
            <w:r>
              <w:rPr>
                <w:rFonts w:hint="eastAsia" w:ascii="宋体" w:hAnsi="宋体" w:cs="宋体"/>
                <w:kern w:val="0"/>
              </w:rPr>
              <w:t>轻工</w:t>
            </w:r>
          </w:p>
        </w:tc>
        <w:tc>
          <w:tcPr>
            <w:tcW w:w="6281" w:type="dxa"/>
            <w:tcBorders>
              <w:top w:val="single" w:color="auto" w:sz="4" w:space="0"/>
              <w:left w:val="single" w:color="auto" w:sz="4" w:space="0"/>
              <w:bottom w:val="single" w:color="auto" w:sz="4" w:space="0"/>
              <w:right w:val="single" w:color="auto" w:sz="4" w:space="0"/>
            </w:tcBorders>
            <w:vAlign w:val="center"/>
          </w:tcPr>
          <w:p>
            <w:pPr>
              <w:spacing w:line="300" w:lineRule="auto"/>
              <w:rPr>
                <w:rFonts w:ascii="宋体" w:hAnsi="宋体" w:cs="宋体"/>
                <w:kern w:val="0"/>
              </w:rPr>
            </w:pPr>
            <w:r>
              <w:rPr>
                <w:rFonts w:hint="eastAsia" w:ascii="宋体" w:hAnsi="宋体" w:cs="宋体"/>
                <w:kern w:val="0"/>
              </w:rPr>
              <w:t>贵金属、稀贵金属、饰品、光伏配件等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90" w:hRule="atLeast"/>
        </w:trPr>
        <w:tc>
          <w:tcPr>
            <w:tcW w:w="1951" w:type="dxa"/>
            <w:vMerge w:val="continue"/>
            <w:tcBorders>
              <w:left w:val="single" w:color="auto" w:sz="4" w:space="0"/>
              <w:right w:val="single" w:color="auto" w:sz="4" w:space="0"/>
            </w:tcBorders>
            <w:vAlign w:val="center"/>
          </w:tcPr>
          <w:p>
            <w:pPr>
              <w:widowControl/>
              <w:adjustRightInd/>
              <w:spacing w:line="300" w:lineRule="auto"/>
              <w:jc w:val="left"/>
              <w:rPr>
                <w:rFonts w:ascii="宋体" w:hAnsi="宋体" w:cs="黑体"/>
              </w:rPr>
            </w:pPr>
          </w:p>
        </w:tc>
        <w:tc>
          <w:tcPr>
            <w:tcW w:w="1512"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kern w:val="0"/>
              </w:rPr>
            </w:pPr>
            <w:r>
              <w:rPr>
                <w:rFonts w:hint="eastAsia" w:ascii="宋体" w:hAnsi="宋体" w:cs="宋体"/>
                <w:kern w:val="0"/>
              </w:rPr>
              <w:t>采矿冶金</w:t>
            </w:r>
          </w:p>
        </w:tc>
        <w:tc>
          <w:tcPr>
            <w:tcW w:w="6281"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黑色金属、有色金属、金属制品</w:t>
            </w:r>
          </w:p>
          <w:p>
            <w:pPr>
              <w:spacing w:line="300" w:lineRule="auto"/>
              <w:rPr>
                <w:rFonts w:ascii="宋体" w:hAnsi="宋体" w:cs="宋体"/>
                <w:kern w:val="0"/>
              </w:rPr>
            </w:pPr>
            <w:r>
              <w:rPr>
                <w:rFonts w:hint="eastAsia" w:ascii="宋体" w:hAnsi="宋体" w:cs="宋体"/>
                <w:kern w:val="0"/>
              </w:rPr>
              <w:t>矿石与矿物等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6" w:hRule="atLeast"/>
        </w:trPr>
        <w:tc>
          <w:tcPr>
            <w:tcW w:w="1951" w:type="dxa"/>
            <w:vMerge w:val="continue"/>
            <w:tcBorders>
              <w:left w:val="single" w:color="auto" w:sz="4" w:space="0"/>
              <w:bottom w:val="single" w:color="auto" w:sz="4" w:space="0"/>
              <w:right w:val="single" w:color="auto" w:sz="4" w:space="0"/>
            </w:tcBorders>
            <w:vAlign w:val="center"/>
          </w:tcPr>
          <w:p>
            <w:pPr>
              <w:widowControl/>
              <w:adjustRightInd/>
              <w:spacing w:line="300" w:lineRule="auto"/>
              <w:jc w:val="left"/>
              <w:rPr>
                <w:rFonts w:ascii="宋体" w:hAnsi="宋体" w:cs="黑体"/>
              </w:rPr>
            </w:pPr>
          </w:p>
        </w:tc>
        <w:tc>
          <w:tcPr>
            <w:tcW w:w="1512" w:type="dxa"/>
            <w:tcBorders>
              <w:top w:val="single" w:color="auto" w:sz="4" w:space="0"/>
              <w:left w:val="single" w:color="auto" w:sz="4" w:space="0"/>
              <w:bottom w:val="single" w:color="auto" w:sz="4" w:space="0"/>
              <w:right w:val="single" w:color="auto" w:sz="4" w:space="0"/>
            </w:tcBorders>
            <w:vAlign w:val="center"/>
          </w:tcPr>
          <w:p>
            <w:pPr>
              <w:spacing w:line="300" w:lineRule="auto"/>
              <w:jc w:val="center"/>
              <w:rPr>
                <w:rFonts w:ascii="宋体" w:hAnsi="宋体"/>
              </w:rPr>
            </w:pPr>
            <w:r>
              <w:rPr>
                <w:rFonts w:hint="eastAsia" w:ascii="宋体" w:hAnsi="宋体" w:cs="宋体"/>
                <w:kern w:val="0"/>
              </w:rPr>
              <w:t>能源</w:t>
            </w:r>
          </w:p>
        </w:tc>
        <w:tc>
          <w:tcPr>
            <w:tcW w:w="6281" w:type="dxa"/>
            <w:tcBorders>
              <w:top w:val="single" w:color="auto" w:sz="4" w:space="0"/>
              <w:left w:val="single" w:color="auto" w:sz="4" w:space="0"/>
              <w:bottom w:val="single" w:color="auto" w:sz="4" w:space="0"/>
              <w:right w:val="single" w:color="auto" w:sz="4" w:space="0"/>
            </w:tcBorders>
            <w:vAlign w:val="center"/>
          </w:tcPr>
          <w:p>
            <w:pPr>
              <w:spacing w:line="300" w:lineRule="auto"/>
              <w:rPr>
                <w:rFonts w:ascii="宋体" w:hAnsi="宋体" w:cs="宋体"/>
                <w:kern w:val="0"/>
              </w:rPr>
            </w:pPr>
            <w:r>
              <w:rPr>
                <w:rStyle w:val="234"/>
                <w:rFonts w:hint="default"/>
                <w:color w:val="auto"/>
              </w:rPr>
              <w:t>光伏组件</w:t>
            </w:r>
            <w:r>
              <w:rPr>
                <w:rFonts w:hint="eastAsia" w:ascii="宋体" w:hAnsi="宋体" w:cs="宋体"/>
                <w:kern w:val="0"/>
              </w:rPr>
              <w:t>、光伏电池片、</w:t>
            </w:r>
            <w:r>
              <w:rPr>
                <w:rFonts w:hint="eastAsia" w:ascii="宋体" w:hAnsi="宋体"/>
                <w:kern w:val="0"/>
              </w:rPr>
              <w:t>光伏零部件、</w:t>
            </w:r>
            <w:r>
              <w:rPr>
                <w:rFonts w:hint="eastAsia" w:ascii="宋体" w:hAnsi="宋体" w:cs="宋体"/>
                <w:kern w:val="0"/>
              </w:rPr>
              <w:t>光伏逆变器、光伏组件</w:t>
            </w:r>
          </w:p>
          <w:p>
            <w:pPr>
              <w:spacing w:line="300" w:lineRule="auto"/>
              <w:rPr>
                <w:rFonts w:ascii="宋体" w:hAnsi="宋体" w:cs="宋体"/>
              </w:rPr>
            </w:pPr>
            <w:r>
              <w:rPr>
                <w:rFonts w:hint="eastAsia" w:ascii="宋体" w:hAnsi="宋体" w:cs="宋体"/>
                <w:kern w:val="0"/>
              </w:rPr>
              <w:t>矿石与矿物、磷矿石、油页岩等</w:t>
            </w:r>
          </w:p>
        </w:tc>
      </w:tr>
    </w:tbl>
    <w:p>
      <w:pPr>
        <w:pStyle w:val="60"/>
        <w:spacing w:before="0" w:after="0" w:line="300" w:lineRule="auto"/>
        <w:rPr>
          <w:rFonts w:hint="eastAsia"/>
        </w:rPr>
      </w:pPr>
      <w:r>
        <w:rPr>
          <w:rFonts w:hint="eastAsia"/>
        </w:rPr>
        <w:t>纺织品类鉴定</w:t>
      </w:r>
    </w:p>
    <w:tbl>
      <w:tblPr>
        <w:tblW w:w="974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1513"/>
        <w:gridCol w:w="62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9" w:hRule="atLeast"/>
        </w:trPr>
        <w:tc>
          <w:tcPr>
            <w:tcW w:w="1951"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kern w:val="0"/>
              </w:rPr>
            </w:pPr>
            <w:r>
              <w:rPr>
                <w:rFonts w:hint="eastAsia" w:ascii="宋体" w:hAnsi="宋体" w:cs="宋体"/>
                <w:kern w:val="0"/>
              </w:rPr>
              <w:t>微量物证执业范围</w:t>
            </w:r>
          </w:p>
        </w:tc>
        <w:tc>
          <w:tcPr>
            <w:tcW w:w="7795"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kern w:val="0"/>
              </w:rPr>
            </w:pPr>
            <w:r>
              <w:rPr>
                <w:rFonts w:hint="eastAsia" w:ascii="宋体" w:hAnsi="宋体" w:cs="宋体"/>
                <w:kern w:val="0"/>
              </w:rPr>
              <w:t>各专业领域执业鉴定范围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43" w:hRule="atLeast"/>
        </w:trPr>
        <w:tc>
          <w:tcPr>
            <w:tcW w:w="1951"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Style w:val="233"/>
                <w:rFonts w:hint="default"/>
                <w:color w:val="auto"/>
              </w:rPr>
            </w:pPr>
            <w:r>
              <w:rPr>
                <w:rStyle w:val="233"/>
                <w:rFonts w:hint="default"/>
                <w:color w:val="auto"/>
              </w:rPr>
              <w:t>纺织品类鉴定</w:t>
            </w:r>
          </w:p>
          <w:p>
            <w:pPr>
              <w:widowControl/>
              <w:spacing w:line="300" w:lineRule="auto"/>
              <w:jc w:val="left"/>
              <w:textAlignment w:val="center"/>
              <w:rPr>
                <w:rFonts w:ascii="等线" w:hAnsi="等线" w:eastAsia="等线"/>
                <w:sz w:val="18"/>
                <w:szCs w:val="18"/>
              </w:rPr>
            </w:pPr>
            <w:r>
              <w:rPr>
                <w:rStyle w:val="233"/>
                <w:rFonts w:hint="default"/>
                <w:color w:val="auto"/>
              </w:rPr>
              <w:t>（纤维、织物等的物理性质、化学性质和成分组成的检验检测，以及上述材料的比较检验和种类判别。）</w:t>
            </w:r>
          </w:p>
        </w:tc>
        <w:tc>
          <w:tcPr>
            <w:tcW w:w="1513"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建材</w:t>
            </w:r>
          </w:p>
        </w:tc>
        <w:tc>
          <w:tcPr>
            <w:tcW w:w="6282"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纤维、</w:t>
            </w:r>
            <w:r>
              <w:rPr>
                <w:rFonts w:hint="eastAsia" w:ascii="宋体" w:hAnsi="宋体" w:cs="宋体"/>
                <w:kern w:val="0"/>
                <w:shd w:val="clear" w:color="auto" w:fill="FFFFFF"/>
              </w:rPr>
              <w:t>纤维复合材</w:t>
            </w:r>
            <w:r>
              <w:rPr>
                <w:rFonts w:hint="eastAsia" w:ascii="宋体" w:hAnsi="宋体" w:cs="宋体"/>
                <w:kern w:val="0"/>
              </w:rPr>
              <w:t>、碳纤维、土工合成材料、网格布</w:t>
            </w:r>
          </w:p>
          <w:p>
            <w:pPr>
              <w:widowControl/>
              <w:spacing w:line="300" w:lineRule="auto"/>
              <w:jc w:val="left"/>
              <w:textAlignment w:val="center"/>
              <w:rPr>
                <w:rFonts w:ascii="宋体" w:hAnsi="宋体" w:cs="宋体"/>
                <w:kern w:val="0"/>
              </w:rPr>
            </w:pPr>
            <w:r>
              <w:rPr>
                <w:rFonts w:hint="eastAsia" w:ascii="宋体" w:hAnsi="宋体" w:cs="宋体"/>
                <w:kern w:val="0"/>
              </w:rPr>
              <w:t>窗帘、壁布、地毯、土工织物、安全网、安全带、安全绳等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 w:hRule="atLeast"/>
        </w:trPr>
        <w:tc>
          <w:tcPr>
            <w:tcW w:w="195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spacing w:line="300" w:lineRule="auto"/>
              <w:jc w:val="left"/>
              <w:rPr>
                <w:rFonts w:ascii="等线" w:hAnsi="等线" w:eastAsia="等线"/>
                <w:sz w:val="18"/>
                <w:szCs w:val="18"/>
              </w:rPr>
            </w:pPr>
          </w:p>
        </w:tc>
        <w:tc>
          <w:tcPr>
            <w:tcW w:w="1513"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纺织服装</w:t>
            </w:r>
          </w:p>
        </w:tc>
        <w:tc>
          <w:tcPr>
            <w:tcW w:w="6282"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kern w:val="0"/>
              </w:rPr>
            </w:pPr>
            <w:r>
              <w:rPr>
                <w:rFonts w:hint="eastAsia"/>
                <w:kern w:val="0"/>
              </w:rPr>
              <w:t>纤维类、纱线类</w:t>
            </w:r>
          </w:p>
          <w:p>
            <w:pPr>
              <w:widowControl/>
              <w:spacing w:line="300" w:lineRule="auto"/>
              <w:jc w:val="left"/>
              <w:textAlignment w:val="center"/>
              <w:rPr>
                <w:rStyle w:val="233"/>
                <w:rFonts w:hint="default"/>
                <w:color w:val="auto"/>
              </w:rPr>
            </w:pPr>
            <w:r>
              <w:rPr>
                <w:rFonts w:hint="eastAsia"/>
                <w:kern w:val="0"/>
              </w:rPr>
              <w:t>织物类、服装服饰、家用纺织品、产业用纺织品、医用辅料及其防护用品、特种防护用品等</w:t>
            </w:r>
          </w:p>
        </w:tc>
      </w:tr>
    </w:tbl>
    <w:p>
      <w:pPr>
        <w:pStyle w:val="60"/>
        <w:numPr>
          <w:ilvl w:val="1"/>
          <w:numId w:val="0"/>
        </w:numPr>
        <w:spacing w:before="0" w:after="0" w:line="300" w:lineRule="auto"/>
        <w:ind w:left="420"/>
        <w:jc w:val="both"/>
        <w:rPr>
          <w:rFonts w:hint="eastAsia" w:ascii="宋体" w:hAnsi="宋体" w:cs="宋体"/>
          <w:kern w:val="0"/>
        </w:rPr>
      </w:pPr>
    </w:p>
    <w:p>
      <w:pPr>
        <w:pStyle w:val="40"/>
        <w:ind w:firstLine="420"/>
        <w:rPr>
          <w:rFonts w:hint="eastAsia"/>
        </w:rPr>
      </w:pPr>
    </w:p>
    <w:p>
      <w:pPr>
        <w:pStyle w:val="60"/>
        <w:spacing w:before="0" w:after="0" w:line="300" w:lineRule="auto"/>
        <w:rPr>
          <w:rFonts w:hint="eastAsia" w:ascii="宋体" w:hAnsi="宋体" w:cs="宋体"/>
          <w:kern w:val="0"/>
        </w:rPr>
      </w:pPr>
      <w:r>
        <w:rPr>
          <w:rFonts w:hint="eastAsia"/>
        </w:rPr>
        <w:t>日用化学品类鉴定</w:t>
      </w:r>
    </w:p>
    <w:tbl>
      <w:tblPr>
        <w:tblW w:w="974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1508"/>
        <w:gridCol w:w="62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9" w:hRule="atLeast"/>
        </w:trPr>
        <w:tc>
          <w:tcPr>
            <w:tcW w:w="1951"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kern w:val="0"/>
              </w:rPr>
            </w:pPr>
            <w:r>
              <w:rPr>
                <w:rFonts w:hint="eastAsia" w:ascii="宋体" w:hAnsi="宋体" w:cs="宋体"/>
                <w:kern w:val="0"/>
              </w:rPr>
              <w:t>微量物证执业范围</w:t>
            </w:r>
          </w:p>
        </w:tc>
        <w:tc>
          <w:tcPr>
            <w:tcW w:w="7793"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kern w:val="0"/>
              </w:rPr>
            </w:pPr>
            <w:r>
              <w:rPr>
                <w:rFonts w:hint="eastAsia" w:ascii="宋体" w:hAnsi="宋体" w:cs="宋体"/>
                <w:kern w:val="0"/>
              </w:rPr>
              <w:t>各专业领域执业鉴定范围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trPr>
        <w:tc>
          <w:tcPr>
            <w:tcW w:w="1951"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Style w:val="233"/>
                <w:rFonts w:hint="default"/>
                <w:color w:val="auto"/>
              </w:rPr>
            </w:pPr>
            <w:r>
              <w:rPr>
                <w:rStyle w:val="233"/>
                <w:rFonts w:hint="default"/>
                <w:color w:val="auto"/>
              </w:rPr>
              <w:t>日用化学品类鉴定</w:t>
            </w:r>
            <w:r>
              <w:rPr>
                <w:rStyle w:val="233"/>
                <w:rFonts w:hint="default"/>
                <w:color w:val="auto"/>
              </w:rPr>
              <w:br/>
            </w:r>
            <w:r>
              <w:rPr>
                <w:rStyle w:val="233"/>
                <w:rFonts w:hint="default"/>
                <w:color w:val="auto"/>
              </w:rPr>
              <w:t>（洗涤剂、化妆品、香精香料等的物理性质、化学性质和成分组成的检验检测，以及上述材料的比较检验和种类判别。</w:t>
            </w:r>
          </w:p>
        </w:tc>
        <w:tc>
          <w:tcPr>
            <w:tcW w:w="1508"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卫生计生</w:t>
            </w:r>
          </w:p>
        </w:tc>
        <w:tc>
          <w:tcPr>
            <w:tcW w:w="6285"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化妆品等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trPr>
        <w:tc>
          <w:tcPr>
            <w:tcW w:w="195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spacing w:line="300" w:lineRule="auto"/>
              <w:jc w:val="left"/>
              <w:rPr>
                <w:rStyle w:val="233"/>
                <w:rFonts w:hint="default"/>
                <w:color w:val="auto"/>
              </w:rPr>
            </w:pPr>
          </w:p>
        </w:tc>
        <w:tc>
          <w:tcPr>
            <w:tcW w:w="1508"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轻工</w:t>
            </w:r>
          </w:p>
        </w:tc>
        <w:tc>
          <w:tcPr>
            <w:tcW w:w="6285"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洗涤用品、个人卫生用品</w:t>
            </w:r>
          </w:p>
          <w:p>
            <w:pPr>
              <w:widowControl/>
              <w:spacing w:line="300" w:lineRule="auto"/>
              <w:jc w:val="left"/>
              <w:textAlignment w:val="center"/>
              <w:rPr>
                <w:rFonts w:ascii="宋体" w:hAnsi="宋体" w:cs="宋体"/>
                <w:kern w:val="0"/>
              </w:rPr>
            </w:pPr>
            <w:r>
              <w:rPr>
                <w:rFonts w:hint="eastAsia" w:ascii="宋体" w:hAnsi="宋体" w:cs="宋体"/>
                <w:kern w:val="0"/>
              </w:rPr>
              <w:t>化妆品等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trPr>
        <w:tc>
          <w:tcPr>
            <w:tcW w:w="195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spacing w:line="300" w:lineRule="auto"/>
              <w:jc w:val="left"/>
              <w:rPr>
                <w:rStyle w:val="233"/>
                <w:rFonts w:hint="default"/>
                <w:color w:val="auto"/>
              </w:rPr>
            </w:pPr>
          </w:p>
        </w:tc>
        <w:tc>
          <w:tcPr>
            <w:tcW w:w="1508"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化工</w:t>
            </w:r>
          </w:p>
        </w:tc>
        <w:tc>
          <w:tcPr>
            <w:tcW w:w="6285"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洗涤剂等</w:t>
            </w:r>
          </w:p>
        </w:tc>
      </w:tr>
    </w:tbl>
    <w:p>
      <w:pPr>
        <w:pStyle w:val="60"/>
        <w:numPr>
          <w:ilvl w:val="1"/>
          <w:numId w:val="0"/>
        </w:numPr>
        <w:spacing w:before="0" w:after="0" w:line="300" w:lineRule="auto"/>
        <w:ind w:left="420"/>
        <w:jc w:val="both"/>
        <w:rPr>
          <w:rFonts w:hint="eastAsia" w:ascii="宋体" w:hAnsi="宋体" w:cs="宋体"/>
          <w:kern w:val="0"/>
        </w:rPr>
      </w:pPr>
    </w:p>
    <w:p>
      <w:pPr>
        <w:pStyle w:val="40"/>
        <w:ind w:firstLine="420"/>
        <w:rPr>
          <w:rFonts w:hint="eastAsia"/>
        </w:rPr>
      </w:pPr>
    </w:p>
    <w:p>
      <w:pPr>
        <w:pStyle w:val="60"/>
        <w:spacing w:before="0" w:after="0" w:line="300" w:lineRule="auto"/>
        <w:rPr>
          <w:rFonts w:ascii="宋体" w:hAnsi="宋体" w:cs="宋体"/>
          <w:kern w:val="0"/>
        </w:rPr>
      </w:pPr>
      <w:r>
        <w:rPr>
          <w:rFonts w:hint="eastAsia"/>
        </w:rPr>
        <w:t>文化用品类鉴定</w:t>
      </w:r>
    </w:p>
    <w:tbl>
      <w:tblPr>
        <w:tblW w:w="974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2"/>
        <w:gridCol w:w="1508"/>
        <w:gridCol w:w="62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9" w:hRule="atLeast"/>
        </w:trPr>
        <w:tc>
          <w:tcPr>
            <w:tcW w:w="1952"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kern w:val="0"/>
              </w:rPr>
            </w:pPr>
            <w:r>
              <w:rPr>
                <w:rFonts w:hint="eastAsia" w:ascii="宋体" w:hAnsi="宋体" w:cs="宋体"/>
                <w:kern w:val="0"/>
              </w:rPr>
              <w:t>微量物证执业范围</w:t>
            </w:r>
          </w:p>
        </w:tc>
        <w:tc>
          <w:tcPr>
            <w:tcW w:w="7788"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kern w:val="0"/>
              </w:rPr>
            </w:pPr>
            <w:r>
              <w:rPr>
                <w:rFonts w:hint="eastAsia" w:ascii="宋体" w:hAnsi="宋体" w:cs="宋体"/>
                <w:kern w:val="0"/>
              </w:rPr>
              <w:t>各专业领域执业鉴定范围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952"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Style w:val="233"/>
                <w:rFonts w:hint="default"/>
                <w:color w:val="auto"/>
              </w:rPr>
            </w:pPr>
            <w:r>
              <w:rPr>
                <w:rStyle w:val="233"/>
                <w:rFonts w:hint="default"/>
                <w:color w:val="auto"/>
              </w:rPr>
              <w:t>文化用品类鉴定</w:t>
            </w:r>
            <w:r>
              <w:rPr>
                <w:rStyle w:val="233"/>
                <w:rFonts w:hint="default"/>
                <w:color w:val="auto"/>
              </w:rPr>
              <w:br/>
            </w:r>
            <w:r>
              <w:rPr>
                <w:rStyle w:val="233"/>
                <w:rFonts w:hint="default"/>
                <w:color w:val="auto"/>
              </w:rPr>
              <w:t>（墨水、油墨、墨粉、纸张、粘合剂等的物理性质、化学性质和成分组成的检验检测，以及上述材料的比较检验和种类判别。）</w:t>
            </w:r>
          </w:p>
        </w:tc>
        <w:tc>
          <w:tcPr>
            <w:tcW w:w="1508"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轻工</w:t>
            </w:r>
          </w:p>
        </w:tc>
        <w:tc>
          <w:tcPr>
            <w:tcW w:w="6280"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办公用品、学生用品及教具</w:t>
            </w:r>
          </w:p>
          <w:p>
            <w:pPr>
              <w:widowControl/>
              <w:spacing w:line="300" w:lineRule="auto"/>
              <w:jc w:val="left"/>
              <w:textAlignment w:val="center"/>
              <w:rPr>
                <w:rFonts w:ascii="宋体" w:hAnsi="宋体" w:cs="宋体"/>
                <w:kern w:val="0"/>
              </w:rPr>
            </w:pPr>
            <w:r>
              <w:rPr>
                <w:rFonts w:hint="eastAsia" w:ascii="宋体" w:hAnsi="宋体" w:cs="宋体"/>
                <w:kern w:val="0"/>
              </w:rPr>
              <w:t>印刷品</w:t>
            </w:r>
            <w:r>
              <w:rPr>
                <w:rFonts w:hint="eastAsia" w:ascii="宋体" w:hAnsi="宋体" w:cs="宋体"/>
                <w:kern w:val="0"/>
                <w:shd w:val="clear" w:color="auto" w:fill="FFFFFF"/>
              </w:rPr>
              <w:t>等</w:t>
            </w:r>
          </w:p>
        </w:tc>
      </w:tr>
    </w:tbl>
    <w:p>
      <w:pPr>
        <w:pStyle w:val="60"/>
        <w:numPr>
          <w:ilvl w:val="1"/>
          <w:numId w:val="0"/>
        </w:numPr>
        <w:spacing w:before="0" w:after="0" w:line="300" w:lineRule="auto"/>
        <w:ind w:left="420"/>
        <w:jc w:val="both"/>
        <w:rPr>
          <w:rFonts w:hint="eastAsia"/>
        </w:rPr>
      </w:pPr>
    </w:p>
    <w:p>
      <w:pPr>
        <w:pStyle w:val="60"/>
        <w:spacing w:before="0" w:after="0" w:line="300" w:lineRule="auto"/>
        <w:rPr>
          <w:rFonts w:hint="eastAsia"/>
        </w:rPr>
      </w:pPr>
      <w:r>
        <w:rPr>
          <w:rFonts w:hint="eastAsia"/>
        </w:rPr>
        <w:t>食品类鉴定</w:t>
      </w:r>
    </w:p>
    <w:tbl>
      <w:tblPr>
        <w:tblW w:w="974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2"/>
        <w:gridCol w:w="1508"/>
        <w:gridCol w:w="62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9" w:hRule="atLeast"/>
        </w:trPr>
        <w:tc>
          <w:tcPr>
            <w:tcW w:w="1952"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kern w:val="0"/>
              </w:rPr>
            </w:pPr>
            <w:r>
              <w:rPr>
                <w:rFonts w:hint="eastAsia" w:ascii="宋体" w:hAnsi="宋体" w:cs="宋体"/>
                <w:kern w:val="0"/>
              </w:rPr>
              <w:t>微量物证执业范围</w:t>
            </w:r>
          </w:p>
        </w:tc>
        <w:tc>
          <w:tcPr>
            <w:tcW w:w="7788"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kern w:val="0"/>
              </w:rPr>
            </w:pPr>
            <w:r>
              <w:rPr>
                <w:rFonts w:hint="eastAsia" w:ascii="宋体" w:hAnsi="宋体" w:cs="宋体"/>
                <w:kern w:val="0"/>
              </w:rPr>
              <w:t>各专业领域执业鉴定范围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90" w:hRule="atLeast"/>
        </w:trPr>
        <w:tc>
          <w:tcPr>
            <w:tcW w:w="1952"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Style w:val="233"/>
                <w:rFonts w:hint="default"/>
                <w:color w:val="auto"/>
              </w:rPr>
            </w:pPr>
            <w:r>
              <w:rPr>
                <w:rStyle w:val="233"/>
                <w:rFonts w:hint="default"/>
                <w:color w:val="auto"/>
              </w:rPr>
              <w:t>食品类鉴定</w:t>
            </w:r>
            <w:r>
              <w:rPr>
                <w:rStyle w:val="233"/>
                <w:rFonts w:hint="default"/>
                <w:color w:val="auto"/>
              </w:rPr>
              <w:br/>
            </w:r>
            <w:r>
              <w:rPr>
                <w:rStyle w:val="233"/>
                <w:rFonts w:hint="default"/>
                <w:color w:val="auto"/>
              </w:rPr>
              <w:t>（食品的营养成分、重金属、添加剂、药物残留、毒素、微生物等的检验检测。）</w:t>
            </w:r>
          </w:p>
        </w:tc>
        <w:tc>
          <w:tcPr>
            <w:tcW w:w="1508"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食品</w:t>
            </w:r>
          </w:p>
        </w:tc>
        <w:tc>
          <w:tcPr>
            <w:tcW w:w="6280"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食品中营养物质、食品中营养补充剂</w:t>
            </w:r>
          </w:p>
          <w:p>
            <w:pPr>
              <w:widowControl/>
              <w:spacing w:line="300" w:lineRule="auto"/>
              <w:jc w:val="left"/>
              <w:textAlignment w:val="center"/>
              <w:rPr>
                <w:rFonts w:hint="eastAsia" w:ascii="宋体" w:hAnsi="宋体" w:cs="宋体"/>
                <w:kern w:val="0"/>
              </w:rPr>
            </w:pPr>
            <w:r>
              <w:rPr>
                <w:rFonts w:hint="eastAsia" w:ascii="宋体" w:hAnsi="宋体" w:cs="宋体"/>
                <w:kern w:val="0"/>
              </w:rPr>
              <w:t>食品中金属元素</w:t>
            </w:r>
          </w:p>
          <w:p>
            <w:pPr>
              <w:widowControl/>
              <w:spacing w:line="300" w:lineRule="auto"/>
              <w:jc w:val="left"/>
              <w:textAlignment w:val="center"/>
              <w:rPr>
                <w:rFonts w:hint="eastAsia" w:ascii="宋体" w:hAnsi="宋体" w:cs="宋体"/>
                <w:kern w:val="0"/>
              </w:rPr>
            </w:pPr>
            <w:r>
              <w:rPr>
                <w:rFonts w:hint="eastAsia" w:ascii="宋体" w:hAnsi="宋体" w:cs="宋体"/>
                <w:kern w:val="0"/>
              </w:rPr>
              <w:t>食品添加剂、食品中非法添加物质、食品用香精香料、食品酶制剂、食品加工助剂</w:t>
            </w:r>
          </w:p>
          <w:p>
            <w:pPr>
              <w:widowControl/>
              <w:spacing w:line="300" w:lineRule="auto"/>
              <w:jc w:val="left"/>
              <w:textAlignment w:val="center"/>
              <w:rPr>
                <w:rFonts w:hint="eastAsia" w:ascii="宋体" w:hAnsi="宋体" w:cs="宋体"/>
                <w:kern w:val="0"/>
              </w:rPr>
            </w:pPr>
            <w:r>
              <w:rPr>
                <w:rFonts w:hint="eastAsia" w:ascii="宋体" w:hAnsi="宋体" w:cs="宋体"/>
                <w:kern w:val="0"/>
              </w:rPr>
              <w:t>食品中污染物、食品中农药残留、食品中兽药残留</w:t>
            </w:r>
          </w:p>
          <w:p>
            <w:pPr>
              <w:widowControl/>
              <w:spacing w:line="300" w:lineRule="auto"/>
              <w:jc w:val="left"/>
              <w:textAlignment w:val="center"/>
              <w:rPr>
                <w:rFonts w:hint="eastAsia" w:ascii="宋体" w:hAnsi="宋体" w:cs="宋体"/>
                <w:kern w:val="0"/>
              </w:rPr>
            </w:pPr>
            <w:r>
              <w:rPr>
                <w:rFonts w:hint="eastAsia" w:ascii="宋体" w:hAnsi="宋体" w:cs="宋体"/>
                <w:kern w:val="0"/>
              </w:rPr>
              <w:t>食品中真菌霉素、食品毒理学</w:t>
            </w:r>
          </w:p>
          <w:p>
            <w:pPr>
              <w:widowControl/>
              <w:spacing w:line="300" w:lineRule="auto"/>
              <w:jc w:val="left"/>
              <w:textAlignment w:val="center"/>
              <w:rPr>
                <w:rFonts w:ascii="宋体" w:hAnsi="宋体" w:cs="宋体"/>
                <w:kern w:val="0"/>
              </w:rPr>
            </w:pPr>
            <w:r>
              <w:rPr>
                <w:rFonts w:hint="eastAsia" w:ascii="宋体" w:hAnsi="宋体" w:cs="宋体"/>
                <w:kern w:val="0"/>
              </w:rPr>
              <w:t>食品微生物</w:t>
            </w:r>
            <w:r>
              <w:rPr>
                <w:rFonts w:hint="eastAsia" w:ascii="宋体" w:hAnsi="宋体" w:cs="宋体"/>
                <w:kern w:val="0"/>
                <w:shd w:val="clear" w:color="auto" w:fill="FFFFFF"/>
              </w:rPr>
              <w:t>等</w:t>
            </w:r>
          </w:p>
        </w:tc>
      </w:tr>
    </w:tbl>
    <w:p>
      <w:pPr>
        <w:pStyle w:val="60"/>
        <w:numPr>
          <w:ilvl w:val="1"/>
          <w:numId w:val="0"/>
        </w:numPr>
        <w:spacing w:before="0" w:after="0" w:line="300" w:lineRule="auto"/>
        <w:ind w:firstLine="420"/>
        <w:jc w:val="both"/>
        <w:rPr>
          <w:rFonts w:hint="eastAsia"/>
        </w:rPr>
      </w:pPr>
    </w:p>
    <w:p>
      <w:pPr>
        <w:pStyle w:val="40"/>
        <w:ind w:firstLine="420"/>
        <w:rPr>
          <w:rFonts w:hint="eastAsia"/>
        </w:rPr>
      </w:pPr>
    </w:p>
    <w:p>
      <w:pPr>
        <w:pStyle w:val="60"/>
        <w:spacing w:before="0" w:after="0" w:line="300" w:lineRule="auto"/>
        <w:rPr>
          <w:rFonts w:hint="eastAsia"/>
        </w:rPr>
      </w:pPr>
      <w:r>
        <w:rPr>
          <w:rFonts w:hint="eastAsia"/>
        </w:rPr>
        <w:t>易燃物质类鉴定</w:t>
      </w:r>
    </w:p>
    <w:tbl>
      <w:tblPr>
        <w:tblW w:w="97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1585"/>
        <w:gridCol w:w="62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9" w:hRule="atLeast"/>
        </w:trPr>
        <w:tc>
          <w:tcPr>
            <w:tcW w:w="1951"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kern w:val="0"/>
              </w:rPr>
            </w:pPr>
            <w:r>
              <w:rPr>
                <w:rFonts w:hint="eastAsia" w:ascii="宋体" w:hAnsi="宋体" w:cs="宋体"/>
                <w:kern w:val="0"/>
              </w:rPr>
              <w:t>微量物证执业范围</w:t>
            </w:r>
          </w:p>
        </w:tc>
        <w:tc>
          <w:tcPr>
            <w:tcW w:w="7786"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kern w:val="0"/>
              </w:rPr>
            </w:pPr>
            <w:r>
              <w:rPr>
                <w:rFonts w:hint="eastAsia" w:ascii="宋体" w:hAnsi="宋体" w:cs="宋体"/>
                <w:kern w:val="0"/>
              </w:rPr>
              <w:t>各专业领域执业鉴定范围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951" w:type="dxa"/>
            <w:vMerge w:val="restart"/>
            <w:tcBorders>
              <w:top w:val="single" w:color="auto" w:sz="4" w:space="0"/>
              <w:left w:val="single" w:color="auto" w:sz="4" w:space="0"/>
              <w:right w:val="single" w:color="auto" w:sz="4" w:space="0"/>
            </w:tcBorders>
            <w:vAlign w:val="center"/>
          </w:tcPr>
          <w:p>
            <w:pPr>
              <w:widowControl/>
              <w:spacing w:line="300" w:lineRule="auto"/>
              <w:jc w:val="left"/>
              <w:textAlignment w:val="center"/>
              <w:rPr>
                <w:rStyle w:val="233"/>
                <w:rFonts w:hint="default"/>
                <w:color w:val="auto"/>
              </w:rPr>
            </w:pPr>
            <w:r>
              <w:rPr>
                <w:rFonts w:hint="eastAsia" w:ascii="宋体" w:hAnsi="宋体" w:cs="宋体"/>
                <w:kern w:val="0"/>
                <w:sz w:val="20"/>
                <w:szCs w:val="20"/>
              </w:rPr>
              <w:t>易燃物质类鉴定</w:t>
            </w:r>
            <w:r>
              <w:rPr>
                <w:rFonts w:hint="eastAsia" w:ascii="宋体" w:hAnsi="宋体" w:cs="宋体"/>
                <w:kern w:val="0"/>
                <w:sz w:val="20"/>
                <w:szCs w:val="20"/>
              </w:rPr>
              <w:br/>
            </w:r>
            <w:r>
              <w:rPr>
                <w:rFonts w:hint="eastAsia" w:ascii="宋体" w:hAnsi="宋体" w:cs="宋体"/>
                <w:kern w:val="0"/>
                <w:sz w:val="20"/>
                <w:szCs w:val="20"/>
              </w:rPr>
              <w:t>（易燃气体、易燃液体和易燃固体及其残留物的物理性质、化学性质和成分组成的检验检测，以及上述材料的比较检验和种类判别。）</w:t>
            </w:r>
          </w:p>
        </w:tc>
        <w:tc>
          <w:tcPr>
            <w:tcW w:w="1585"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建材</w:t>
            </w:r>
          </w:p>
        </w:tc>
        <w:tc>
          <w:tcPr>
            <w:tcW w:w="6201"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Style w:val="233"/>
                <w:rFonts w:hint="default"/>
                <w:color w:val="auto"/>
              </w:rPr>
              <w:t>保温材料、</w:t>
            </w:r>
            <w:r>
              <w:rPr>
                <w:rFonts w:hint="eastAsia" w:ascii="宋体" w:hAnsi="宋体" w:cs="宋体"/>
                <w:kern w:val="0"/>
              </w:rPr>
              <w:t>涂料、油漆、胶粘剂等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951" w:type="dxa"/>
            <w:vMerge w:val="continue"/>
            <w:tcBorders>
              <w:left w:val="single" w:color="auto" w:sz="4" w:space="0"/>
              <w:right w:val="single" w:color="auto" w:sz="4" w:space="0"/>
            </w:tcBorders>
            <w:vAlign w:val="center"/>
          </w:tcPr>
          <w:p>
            <w:pPr>
              <w:widowControl/>
              <w:adjustRightInd/>
              <w:spacing w:line="300" w:lineRule="auto"/>
              <w:jc w:val="left"/>
              <w:rPr>
                <w:rStyle w:val="233"/>
                <w:rFonts w:hint="default"/>
                <w:color w:val="auto"/>
              </w:rPr>
            </w:pPr>
          </w:p>
        </w:tc>
        <w:tc>
          <w:tcPr>
            <w:tcW w:w="1585"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rPr>
            </w:pPr>
            <w:r>
              <w:rPr>
                <w:rStyle w:val="233"/>
                <w:rFonts w:hint="default"/>
                <w:color w:val="auto"/>
              </w:rPr>
              <w:t>卫生计生</w:t>
            </w:r>
          </w:p>
        </w:tc>
        <w:tc>
          <w:tcPr>
            <w:tcW w:w="6201"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酒类、消毒产品</w:t>
            </w:r>
            <w:r>
              <w:rPr>
                <w:rFonts w:hint="eastAsia" w:ascii="宋体" w:hAnsi="宋体" w:cs="宋体"/>
                <w:kern w:val="0"/>
                <w:shd w:val="clear" w:color="auto" w:fill="FFFFFF"/>
              </w:rPr>
              <w: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951" w:type="dxa"/>
            <w:vMerge w:val="continue"/>
            <w:tcBorders>
              <w:left w:val="single" w:color="auto" w:sz="4" w:space="0"/>
              <w:right w:val="single" w:color="auto" w:sz="4" w:space="0"/>
            </w:tcBorders>
            <w:vAlign w:val="center"/>
          </w:tcPr>
          <w:p>
            <w:pPr>
              <w:widowControl/>
              <w:adjustRightInd/>
              <w:spacing w:line="300" w:lineRule="auto"/>
              <w:jc w:val="left"/>
              <w:rPr>
                <w:rStyle w:val="233"/>
                <w:rFonts w:hint="default"/>
                <w:color w:val="auto"/>
              </w:rPr>
            </w:pPr>
          </w:p>
        </w:tc>
        <w:tc>
          <w:tcPr>
            <w:tcW w:w="1585"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rPr>
            </w:pPr>
            <w:r>
              <w:rPr>
                <w:rStyle w:val="233"/>
                <w:rFonts w:hint="default"/>
                <w:color w:val="auto"/>
              </w:rPr>
              <w:t>轻工</w:t>
            </w:r>
          </w:p>
        </w:tc>
        <w:tc>
          <w:tcPr>
            <w:tcW w:w="6201"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涂料及胶粘剂</w:t>
            </w:r>
            <w:r>
              <w:rPr>
                <w:rFonts w:hint="eastAsia" w:ascii="宋体" w:hAnsi="宋体" w:cs="宋体"/>
                <w:kern w:val="0"/>
                <w:shd w:val="clear" w:color="auto" w:fill="FFFFFF"/>
              </w:rPr>
              <w: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99" w:hRule="atLeast"/>
        </w:trPr>
        <w:tc>
          <w:tcPr>
            <w:tcW w:w="1951" w:type="dxa"/>
            <w:vMerge w:val="continue"/>
            <w:tcBorders>
              <w:left w:val="single" w:color="auto" w:sz="4" w:space="0"/>
              <w:right w:val="single" w:color="auto" w:sz="4" w:space="0"/>
            </w:tcBorders>
            <w:vAlign w:val="center"/>
          </w:tcPr>
          <w:p>
            <w:pPr>
              <w:widowControl/>
              <w:adjustRightInd/>
              <w:spacing w:line="300" w:lineRule="auto"/>
              <w:jc w:val="left"/>
              <w:rPr>
                <w:rStyle w:val="233"/>
                <w:rFonts w:hint="default"/>
                <w:color w:val="auto"/>
              </w:rPr>
            </w:pPr>
          </w:p>
        </w:tc>
        <w:tc>
          <w:tcPr>
            <w:tcW w:w="1585"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化工</w:t>
            </w:r>
          </w:p>
        </w:tc>
        <w:tc>
          <w:tcPr>
            <w:tcW w:w="6201"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气体</w:t>
            </w:r>
          </w:p>
          <w:p>
            <w:pPr>
              <w:widowControl/>
              <w:spacing w:line="300" w:lineRule="auto"/>
              <w:jc w:val="left"/>
              <w:textAlignment w:val="center"/>
              <w:rPr>
                <w:rFonts w:hint="eastAsia" w:ascii="宋体" w:hAnsi="宋体" w:cs="宋体"/>
                <w:kern w:val="0"/>
              </w:rPr>
            </w:pPr>
            <w:r>
              <w:rPr>
                <w:rFonts w:hint="eastAsia" w:ascii="宋体" w:hAnsi="宋体" w:cs="宋体"/>
                <w:kern w:val="0"/>
              </w:rPr>
              <w:t>化学试剂、工业用油和相关产品、有机化工原料及产品、无机化工原料及产品、农药</w:t>
            </w:r>
          </w:p>
          <w:p>
            <w:pPr>
              <w:widowControl/>
              <w:spacing w:line="300" w:lineRule="auto"/>
              <w:jc w:val="left"/>
              <w:textAlignment w:val="center"/>
              <w:rPr>
                <w:rFonts w:ascii="宋体" w:hAnsi="宋体" w:cs="宋体"/>
                <w:kern w:val="0"/>
              </w:rPr>
            </w:pPr>
            <w:r>
              <w:rPr>
                <w:rFonts w:hint="eastAsia" w:ascii="宋体" w:hAnsi="宋体" w:cs="宋体"/>
                <w:kern w:val="0"/>
              </w:rPr>
              <w:t>燃料、涂料和颜料、石油添加剂</w:t>
            </w:r>
            <w:r>
              <w:rPr>
                <w:rFonts w:hint="eastAsia" w:ascii="宋体" w:hAnsi="宋体" w:cs="宋体"/>
                <w:kern w:val="0"/>
                <w:shd w:val="clear" w:color="auto" w:fill="FFFFFF"/>
              </w:rPr>
              <w: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00" w:hRule="atLeast"/>
        </w:trPr>
        <w:tc>
          <w:tcPr>
            <w:tcW w:w="1951" w:type="dxa"/>
            <w:vMerge w:val="continue"/>
            <w:tcBorders>
              <w:left w:val="single" w:color="auto" w:sz="4" w:space="0"/>
              <w:right w:val="single" w:color="auto" w:sz="4" w:space="0"/>
            </w:tcBorders>
            <w:vAlign w:val="center"/>
          </w:tcPr>
          <w:p>
            <w:pPr>
              <w:widowControl/>
              <w:adjustRightInd/>
              <w:spacing w:line="300" w:lineRule="auto"/>
              <w:jc w:val="left"/>
              <w:rPr>
                <w:rStyle w:val="233"/>
                <w:rFonts w:hint="default"/>
                <w:color w:val="auto"/>
              </w:rPr>
            </w:pPr>
          </w:p>
        </w:tc>
        <w:tc>
          <w:tcPr>
            <w:tcW w:w="1585"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能源</w:t>
            </w:r>
          </w:p>
        </w:tc>
        <w:tc>
          <w:tcPr>
            <w:tcW w:w="6201"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天然气、气体燃料、液化石油气、二甲醚、城镇燃气用二甲醚</w:t>
            </w:r>
          </w:p>
          <w:p>
            <w:pPr>
              <w:widowControl/>
              <w:spacing w:line="300" w:lineRule="auto"/>
              <w:jc w:val="left"/>
              <w:textAlignment w:val="center"/>
              <w:rPr>
                <w:rFonts w:hint="eastAsia" w:ascii="宋体" w:hAnsi="宋体" w:cs="宋体"/>
                <w:kern w:val="0"/>
              </w:rPr>
            </w:pPr>
            <w:r>
              <w:rPr>
                <w:rFonts w:hint="eastAsia" w:ascii="宋体" w:hAnsi="宋体" w:cs="宋体"/>
                <w:kern w:val="0"/>
              </w:rPr>
              <w:t>原油、石油添加剂</w:t>
            </w:r>
          </w:p>
          <w:p>
            <w:pPr>
              <w:widowControl/>
              <w:spacing w:line="300" w:lineRule="auto"/>
              <w:jc w:val="left"/>
              <w:textAlignment w:val="center"/>
              <w:rPr>
                <w:rFonts w:ascii="宋体" w:hAnsi="宋体" w:cs="宋体"/>
                <w:kern w:val="0"/>
              </w:rPr>
            </w:pPr>
            <w:r>
              <w:rPr>
                <w:rFonts w:hint="eastAsia" w:ascii="宋体" w:hAnsi="宋体" w:cs="宋体"/>
                <w:kern w:val="0"/>
              </w:rPr>
              <w:t>工业用油</w:t>
            </w:r>
            <w:r>
              <w:rPr>
                <w:rFonts w:hint="eastAsia" w:ascii="宋体" w:hAnsi="宋体" w:cs="宋体"/>
                <w:kern w:val="0"/>
                <w:shd w:val="clear" w:color="auto" w:fill="FFFFFF"/>
              </w:rPr>
              <w: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951" w:type="dxa"/>
            <w:vMerge w:val="continue"/>
            <w:tcBorders>
              <w:left w:val="single" w:color="auto" w:sz="4" w:space="0"/>
              <w:right w:val="single" w:color="auto" w:sz="4" w:space="0"/>
            </w:tcBorders>
            <w:vAlign w:val="center"/>
          </w:tcPr>
          <w:p>
            <w:pPr>
              <w:widowControl/>
              <w:adjustRightInd/>
              <w:spacing w:line="300" w:lineRule="auto"/>
              <w:jc w:val="left"/>
              <w:rPr>
                <w:rStyle w:val="233"/>
                <w:rFonts w:hint="default"/>
                <w:color w:val="auto"/>
              </w:rPr>
            </w:pPr>
          </w:p>
        </w:tc>
        <w:tc>
          <w:tcPr>
            <w:tcW w:w="1585"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采矿冶金</w:t>
            </w:r>
          </w:p>
        </w:tc>
        <w:tc>
          <w:tcPr>
            <w:tcW w:w="6201"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有色金属</w:t>
            </w:r>
            <w:r>
              <w:rPr>
                <w:rFonts w:hint="eastAsia" w:ascii="宋体" w:hAnsi="宋体" w:cs="宋体"/>
                <w:kern w:val="0"/>
                <w:shd w:val="clear" w:color="auto" w:fill="FFFFFF"/>
              </w:rPr>
              <w: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951" w:type="dxa"/>
            <w:vMerge w:val="continue"/>
            <w:tcBorders>
              <w:left w:val="single" w:color="auto" w:sz="4" w:space="0"/>
              <w:bottom w:val="single" w:color="auto" w:sz="4" w:space="0"/>
              <w:right w:val="single" w:color="auto" w:sz="4" w:space="0"/>
            </w:tcBorders>
            <w:vAlign w:val="center"/>
          </w:tcPr>
          <w:p>
            <w:pPr>
              <w:widowControl/>
              <w:adjustRightInd/>
              <w:spacing w:line="300" w:lineRule="auto"/>
              <w:jc w:val="left"/>
              <w:rPr>
                <w:rStyle w:val="233"/>
                <w:rFonts w:hint="default"/>
                <w:color w:val="auto"/>
              </w:rPr>
            </w:pPr>
          </w:p>
        </w:tc>
        <w:tc>
          <w:tcPr>
            <w:tcW w:w="1585"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农林牧鱼</w:t>
            </w:r>
          </w:p>
        </w:tc>
        <w:tc>
          <w:tcPr>
            <w:tcW w:w="6201"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农药</w:t>
            </w:r>
            <w:r>
              <w:rPr>
                <w:rFonts w:hint="eastAsia" w:ascii="宋体" w:hAnsi="宋体" w:cs="宋体"/>
                <w:kern w:val="0"/>
                <w:shd w:val="clear" w:color="auto" w:fill="FFFFFF"/>
              </w:rPr>
              <w:t>等</w:t>
            </w:r>
          </w:p>
        </w:tc>
      </w:tr>
    </w:tbl>
    <w:p>
      <w:pPr>
        <w:pStyle w:val="40"/>
        <w:spacing w:line="300" w:lineRule="auto"/>
        <w:ind w:firstLine="420"/>
        <w:rPr>
          <w:rFonts w:hint="eastAsia"/>
        </w:rPr>
      </w:pPr>
    </w:p>
    <w:p>
      <w:pPr>
        <w:pStyle w:val="40"/>
        <w:spacing w:line="300" w:lineRule="auto"/>
        <w:ind w:firstLine="420"/>
        <w:rPr>
          <w:rFonts w:hint="eastAsia"/>
        </w:rPr>
      </w:pPr>
    </w:p>
    <w:p>
      <w:pPr>
        <w:pStyle w:val="40"/>
        <w:spacing w:line="300" w:lineRule="auto"/>
        <w:ind w:firstLine="420"/>
        <w:rPr>
          <w:rFonts w:hint="eastAsia"/>
        </w:rPr>
      </w:pPr>
    </w:p>
    <w:p>
      <w:pPr>
        <w:pStyle w:val="40"/>
        <w:spacing w:line="300" w:lineRule="auto"/>
        <w:ind w:firstLine="420"/>
      </w:pPr>
    </w:p>
    <w:p>
      <w:pPr>
        <w:pStyle w:val="60"/>
        <w:spacing w:before="0" w:after="0" w:line="300" w:lineRule="auto"/>
        <w:rPr>
          <w:rFonts w:hint="eastAsia"/>
        </w:rPr>
      </w:pPr>
      <w:r>
        <w:rPr>
          <w:rFonts w:hint="eastAsia"/>
        </w:rPr>
        <w:t>交通事故微量物证鉴定</w:t>
      </w:r>
    </w:p>
    <w:tbl>
      <w:tblPr>
        <w:tblW w:w="97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1503"/>
        <w:gridCol w:w="62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9" w:hRule="atLeast"/>
        </w:trPr>
        <w:tc>
          <w:tcPr>
            <w:tcW w:w="1951"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kern w:val="0"/>
              </w:rPr>
            </w:pPr>
            <w:r>
              <w:rPr>
                <w:rFonts w:hint="eastAsia" w:ascii="宋体" w:hAnsi="宋体" w:cs="宋体"/>
                <w:kern w:val="0"/>
              </w:rPr>
              <w:t>微量物证执业范围</w:t>
            </w:r>
          </w:p>
        </w:tc>
        <w:tc>
          <w:tcPr>
            <w:tcW w:w="7786"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kern w:val="0"/>
              </w:rPr>
            </w:pPr>
            <w:r>
              <w:rPr>
                <w:rFonts w:hint="eastAsia" w:ascii="宋体" w:hAnsi="宋体" w:cs="宋体"/>
                <w:kern w:val="0"/>
              </w:rPr>
              <w:t>各专业领域执业鉴定范围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951"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Style w:val="233"/>
                <w:rFonts w:hint="default"/>
                <w:color w:val="auto"/>
              </w:rPr>
            </w:pPr>
            <w:r>
              <w:rPr>
                <w:rStyle w:val="233"/>
                <w:rFonts w:hint="default"/>
                <w:color w:val="auto"/>
              </w:rPr>
              <w:t>交通事故微量物证鉴定</w:t>
            </w:r>
            <w:r>
              <w:rPr>
                <w:rStyle w:val="233"/>
                <w:rFonts w:hint="default"/>
                <w:color w:val="auto"/>
              </w:rPr>
              <w:br/>
            </w:r>
            <w:r>
              <w:rPr>
                <w:rStyle w:val="233"/>
                <w:rFonts w:hint="default"/>
                <w:color w:val="auto"/>
              </w:rPr>
              <w:t>（交通事故涉及的油漆、橡胶、塑料、玻璃、纤维、金属、易燃物质等的物理性质、化学性质和成分组成的检验检测，以及上述材料的比较检验和种类判别。）</w:t>
            </w:r>
          </w:p>
        </w:tc>
        <w:tc>
          <w:tcPr>
            <w:tcW w:w="1503"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轻工</w:t>
            </w:r>
          </w:p>
        </w:tc>
        <w:tc>
          <w:tcPr>
            <w:tcW w:w="6283"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（工业）橡塑制品</w:t>
            </w:r>
          </w:p>
          <w:p>
            <w:pPr>
              <w:widowControl/>
              <w:spacing w:line="300" w:lineRule="auto"/>
              <w:jc w:val="left"/>
              <w:textAlignment w:val="center"/>
              <w:rPr>
                <w:rFonts w:hint="eastAsia" w:ascii="宋体" w:hAnsi="宋体" w:cs="宋体"/>
                <w:kern w:val="0"/>
              </w:rPr>
            </w:pPr>
            <w:r>
              <w:rPr>
                <w:rFonts w:hint="eastAsia" w:ascii="宋体" w:hAnsi="宋体" w:cs="宋体"/>
                <w:kern w:val="0"/>
              </w:rPr>
              <w:t>玻璃</w:t>
            </w:r>
          </w:p>
          <w:p>
            <w:pPr>
              <w:widowControl/>
              <w:spacing w:line="300" w:lineRule="auto"/>
              <w:jc w:val="left"/>
              <w:textAlignment w:val="center"/>
              <w:rPr>
                <w:rFonts w:hint="eastAsia" w:ascii="宋体" w:hAnsi="宋体" w:cs="宋体"/>
                <w:kern w:val="0"/>
              </w:rPr>
            </w:pPr>
            <w:r>
              <w:rPr>
                <w:rFonts w:hint="eastAsia" w:ascii="宋体" w:hAnsi="宋体" w:cs="宋体"/>
                <w:kern w:val="0"/>
              </w:rPr>
              <w:t>车辆配件</w:t>
            </w:r>
          </w:p>
          <w:p>
            <w:pPr>
              <w:widowControl/>
              <w:spacing w:line="300" w:lineRule="auto"/>
              <w:jc w:val="left"/>
              <w:textAlignment w:val="center"/>
              <w:rPr>
                <w:rFonts w:ascii="宋体" w:hAnsi="宋体" w:cs="宋体"/>
                <w:kern w:val="0"/>
              </w:rPr>
            </w:pPr>
            <w:r>
              <w:rPr>
                <w:rFonts w:hint="eastAsia" w:ascii="宋体" w:hAnsi="宋体" w:cs="宋体"/>
                <w:kern w:val="0"/>
              </w:rPr>
              <w:t>装饰装修材料</w:t>
            </w:r>
            <w:r>
              <w:rPr>
                <w:rFonts w:hint="eastAsia" w:ascii="宋体" w:hAnsi="宋体" w:cs="宋体"/>
                <w:kern w:val="0"/>
                <w:shd w:val="clear" w:color="auto" w:fill="FFFFFF"/>
              </w:rPr>
              <w: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95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spacing w:line="300" w:lineRule="auto"/>
              <w:jc w:val="left"/>
              <w:rPr>
                <w:rStyle w:val="233"/>
                <w:rFonts w:hint="default"/>
                <w:color w:val="auto"/>
              </w:rPr>
            </w:pPr>
          </w:p>
        </w:tc>
        <w:tc>
          <w:tcPr>
            <w:tcW w:w="1503"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纺织服装</w:t>
            </w:r>
          </w:p>
        </w:tc>
        <w:tc>
          <w:tcPr>
            <w:tcW w:w="6283"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纤维类（含羽毛羽绒）</w:t>
            </w:r>
          </w:p>
          <w:p>
            <w:pPr>
              <w:widowControl/>
              <w:spacing w:line="300" w:lineRule="auto"/>
              <w:jc w:val="left"/>
              <w:textAlignment w:val="center"/>
              <w:rPr>
                <w:rFonts w:ascii="宋体" w:hAnsi="宋体" w:cs="宋体"/>
                <w:kern w:val="0"/>
              </w:rPr>
            </w:pPr>
            <w:r>
              <w:rPr>
                <w:rFonts w:hint="eastAsia" w:ascii="宋体" w:hAnsi="宋体" w:cs="宋体"/>
                <w:kern w:val="0"/>
              </w:rPr>
              <w:t>织物类</w:t>
            </w:r>
            <w:r>
              <w:rPr>
                <w:rFonts w:hint="eastAsia" w:ascii="宋体" w:hAnsi="宋体" w:cs="宋体"/>
                <w:kern w:val="0"/>
                <w:shd w:val="clear" w:color="auto" w:fill="FFFFFF"/>
              </w:rPr>
              <w: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95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spacing w:line="300" w:lineRule="auto"/>
              <w:jc w:val="left"/>
              <w:rPr>
                <w:rStyle w:val="233"/>
                <w:rFonts w:hint="default"/>
                <w:color w:val="auto"/>
              </w:rPr>
            </w:pPr>
          </w:p>
        </w:tc>
        <w:tc>
          <w:tcPr>
            <w:tcW w:w="1503"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化工</w:t>
            </w:r>
          </w:p>
        </w:tc>
        <w:tc>
          <w:tcPr>
            <w:tcW w:w="6283"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涂料</w:t>
            </w:r>
            <w:r>
              <w:rPr>
                <w:rFonts w:hint="eastAsia" w:ascii="宋体" w:hAnsi="宋体" w:cs="宋体"/>
                <w:kern w:val="0"/>
                <w:shd w:val="clear" w:color="auto" w:fill="FFFFFF"/>
              </w:rPr>
              <w: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95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spacing w:line="300" w:lineRule="auto"/>
              <w:jc w:val="left"/>
              <w:rPr>
                <w:rStyle w:val="233"/>
                <w:rFonts w:hint="default"/>
                <w:color w:val="auto"/>
              </w:rPr>
            </w:pPr>
          </w:p>
        </w:tc>
        <w:tc>
          <w:tcPr>
            <w:tcW w:w="1503"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采矿冶金</w:t>
            </w:r>
          </w:p>
        </w:tc>
        <w:tc>
          <w:tcPr>
            <w:tcW w:w="6283"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金属制品</w:t>
            </w:r>
            <w:r>
              <w:rPr>
                <w:rFonts w:hint="eastAsia" w:ascii="宋体" w:hAnsi="宋体" w:cs="宋体"/>
                <w:kern w:val="0"/>
                <w:shd w:val="clear" w:color="auto" w:fill="FFFFFF"/>
              </w:rPr>
              <w:t>等</w:t>
            </w:r>
          </w:p>
        </w:tc>
      </w:tr>
    </w:tbl>
    <w:p>
      <w:pPr>
        <w:pStyle w:val="40"/>
        <w:spacing w:line="300" w:lineRule="auto"/>
        <w:ind w:firstLine="420"/>
        <w:rPr>
          <w:rFonts w:hint="eastAsia"/>
        </w:rPr>
      </w:pPr>
    </w:p>
    <w:p>
      <w:pPr>
        <w:pStyle w:val="40"/>
        <w:spacing w:line="300" w:lineRule="auto"/>
        <w:ind w:firstLine="420"/>
        <w:rPr>
          <w:rFonts w:hint="eastAsia"/>
        </w:rPr>
      </w:pPr>
    </w:p>
    <w:p>
      <w:pPr>
        <w:pStyle w:val="60"/>
        <w:spacing w:before="0" w:after="0" w:line="300" w:lineRule="auto"/>
        <w:rPr>
          <w:rFonts w:hint="eastAsia"/>
        </w:rPr>
      </w:pPr>
      <w:r>
        <w:rPr>
          <w:rFonts w:hint="eastAsia"/>
        </w:rPr>
        <w:t>火灾微量物证鉴定</w:t>
      </w:r>
    </w:p>
    <w:tbl>
      <w:tblPr>
        <w:tblW w:w="97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1496"/>
        <w:gridCol w:w="6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2" w:hRule="atLeast"/>
        </w:trPr>
        <w:tc>
          <w:tcPr>
            <w:tcW w:w="1951"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kern w:val="0"/>
              </w:rPr>
            </w:pPr>
            <w:r>
              <w:rPr>
                <w:rFonts w:hint="eastAsia" w:ascii="宋体" w:hAnsi="宋体" w:cs="宋体"/>
                <w:kern w:val="0"/>
              </w:rPr>
              <w:t>微量物证执业范围</w:t>
            </w:r>
          </w:p>
        </w:tc>
        <w:tc>
          <w:tcPr>
            <w:tcW w:w="7786"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Fonts w:ascii="宋体" w:hAnsi="宋体" w:cs="宋体"/>
                <w:kern w:val="0"/>
              </w:rPr>
            </w:pPr>
            <w:r>
              <w:rPr>
                <w:rFonts w:hint="eastAsia" w:ascii="宋体" w:hAnsi="宋体" w:cs="宋体"/>
                <w:kern w:val="0"/>
              </w:rPr>
              <w:t>各专业领域执业鉴定范围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56" w:hRule="atLeast"/>
        </w:trPr>
        <w:tc>
          <w:tcPr>
            <w:tcW w:w="1951"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Style w:val="233"/>
                <w:rFonts w:hint="default"/>
                <w:color w:val="auto"/>
              </w:rPr>
            </w:pPr>
            <w:r>
              <w:rPr>
                <w:rStyle w:val="233"/>
                <w:rFonts w:hint="default"/>
                <w:color w:val="auto"/>
              </w:rPr>
              <w:t>火灾微量物证鉴定</w:t>
            </w:r>
          </w:p>
          <w:p>
            <w:pPr>
              <w:widowControl/>
              <w:spacing w:line="300" w:lineRule="auto"/>
              <w:jc w:val="left"/>
              <w:textAlignment w:val="center"/>
              <w:rPr>
                <w:rStyle w:val="233"/>
                <w:rFonts w:hint="default"/>
                <w:color w:val="auto"/>
              </w:rPr>
            </w:pPr>
            <w:r>
              <w:rPr>
                <w:rStyle w:val="233"/>
                <w:rFonts w:hint="default"/>
                <w:color w:val="auto"/>
              </w:rPr>
              <w:t>（火灾现场涉及的易燃物质类、化工产品类、金属等的物理性质、化学性质和成分组成的检验检测，以及上述材料的比较检验和种类判别。）</w:t>
            </w:r>
          </w:p>
        </w:tc>
        <w:tc>
          <w:tcPr>
            <w:tcW w:w="1496"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建材</w:t>
            </w:r>
          </w:p>
        </w:tc>
        <w:tc>
          <w:tcPr>
            <w:tcW w:w="6290"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膜材、型材、塑料管材管件、阀门、软管、电线电缆绝缘层与护套、通信电缆绝缘层与护套、电工套管和电缆导管、电线槽与桥架、开关、插头、插座、外墙保温用锚栓、土工合成材料、安全帽、止水带、海绵橡胶密封条、桥梁支座、桥梁伸缩装置、建筑涂料及辅助材料、防水涂料、防火涂料、防腐涂料、玻璃、陶瓷砖、陶瓷板、粘结材料、填缝剂、轻骨料、水泥、外加剂、掺合料、混凝土、砂浆、合成材料运动场地面层、合成材料运动场地面层原材料、壁纸辅助材料、保温材料、密封材料、沥青、沥青混合料</w:t>
            </w:r>
          </w:p>
          <w:p>
            <w:pPr>
              <w:widowControl/>
              <w:spacing w:line="300" w:lineRule="auto"/>
              <w:jc w:val="left"/>
              <w:textAlignment w:val="center"/>
              <w:rPr>
                <w:rFonts w:ascii="宋体" w:hAnsi="宋体" w:cs="宋体"/>
                <w:kern w:val="0"/>
              </w:rPr>
            </w:pPr>
            <w:r>
              <w:rPr>
                <w:rFonts w:hint="eastAsia" w:ascii="宋体" w:hAnsi="宋体" w:cs="宋体"/>
                <w:kern w:val="0"/>
              </w:rPr>
              <w:t>钢材及其制品、钢筋连接件、钢构件连接件、轻钢龙骨及配件、管材管件、阀门、桥梁支座、桥梁伸缩装置、检查井盖和雨水箅、钢管脚手架扣件、钢丝网、铜制品、铝制品、电线电缆线芯、通信电缆线芯、铜合金制品、铝合金制品、不锈钢制品、型材、五金件、电线槽和桥架等</w:t>
            </w:r>
          </w:p>
        </w:tc>
      </w:tr>
    </w:tbl>
    <w:p>
      <w:pPr>
        <w:jc w:val="center"/>
        <w:rPr>
          <w:rFonts w:ascii="黑体" w:hAnsi="Times New Roman" w:eastAsia="黑体"/>
          <w:kern w:val="21"/>
          <w:szCs w:val="20"/>
        </w:rPr>
      </w:pPr>
      <w:r>
        <w:rPr>
          <w:rFonts w:hint="eastAsia"/>
        </w:rPr>
        <w:t>表A.9</w:t>
      </w:r>
      <w:r>
        <w:rPr>
          <w:rFonts w:hint="eastAsia" w:ascii="黑体" w:hAnsi="Times New Roman" w:eastAsia="黑体"/>
          <w:kern w:val="21"/>
          <w:szCs w:val="20"/>
        </w:rPr>
        <w:t>火灾微量物证鉴定（续）</w:t>
      </w:r>
    </w:p>
    <w:tbl>
      <w:tblPr>
        <w:tblW w:w="97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1496"/>
        <w:gridCol w:w="6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951" w:type="dxa"/>
            <w:vMerge w:val="restart"/>
            <w:tcBorders>
              <w:top w:val="single" w:color="auto" w:sz="4" w:space="0"/>
              <w:left w:val="single" w:color="auto" w:sz="4" w:space="0"/>
              <w:bottom w:val="single" w:color="auto" w:sz="4" w:space="0"/>
              <w:right w:val="single" w:color="auto" w:sz="4" w:space="0"/>
            </w:tcBorders>
            <w:vAlign w:val="center"/>
          </w:tcPr>
          <w:p>
            <w:pPr>
              <w:widowControl/>
              <w:adjustRightInd/>
              <w:spacing w:line="300" w:lineRule="auto"/>
              <w:jc w:val="left"/>
              <w:rPr>
                <w:rStyle w:val="233"/>
                <w:rFonts w:hint="default"/>
                <w:color w:val="auto"/>
              </w:rPr>
            </w:pPr>
          </w:p>
        </w:tc>
        <w:tc>
          <w:tcPr>
            <w:tcW w:w="1496"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食品</w:t>
            </w:r>
          </w:p>
        </w:tc>
        <w:tc>
          <w:tcPr>
            <w:tcW w:w="6290"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直接接触食品的塑料材料及制品、食品接触用橡胶材料及制品、直接接触食品的玻璃材料及制品、直接接触食品的陶瓷材料及制品、食品中添加剂</w:t>
            </w:r>
          </w:p>
          <w:p>
            <w:pPr>
              <w:widowControl/>
              <w:spacing w:line="300" w:lineRule="auto"/>
              <w:jc w:val="left"/>
              <w:textAlignment w:val="center"/>
              <w:rPr>
                <w:rFonts w:ascii="宋体" w:hAnsi="宋体" w:cs="宋体"/>
                <w:kern w:val="0"/>
              </w:rPr>
            </w:pPr>
            <w:r>
              <w:rPr>
                <w:rFonts w:hint="eastAsia" w:ascii="宋体" w:hAnsi="宋体" w:cs="宋体"/>
                <w:kern w:val="0"/>
              </w:rPr>
              <w:t>直接接触食品的金属材料及其制品</w:t>
            </w:r>
            <w:r>
              <w:rPr>
                <w:rFonts w:hint="eastAsia" w:ascii="宋体" w:hAnsi="宋体" w:cs="宋体"/>
                <w:kern w:val="0"/>
                <w:shd w:val="clear" w:color="auto" w:fill="FFFFFF"/>
              </w:rPr>
              <w: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95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spacing w:line="300" w:lineRule="auto"/>
              <w:jc w:val="left"/>
              <w:rPr>
                <w:rStyle w:val="233"/>
                <w:rFonts w:hint="default"/>
                <w:color w:val="auto"/>
              </w:rPr>
            </w:pPr>
          </w:p>
        </w:tc>
        <w:tc>
          <w:tcPr>
            <w:tcW w:w="1496"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卫生计生</w:t>
            </w:r>
          </w:p>
        </w:tc>
        <w:tc>
          <w:tcPr>
            <w:tcW w:w="6290"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酒类、消毒产品</w:t>
            </w:r>
          </w:p>
          <w:p>
            <w:pPr>
              <w:widowControl/>
              <w:spacing w:line="300" w:lineRule="auto"/>
              <w:jc w:val="left"/>
              <w:textAlignment w:val="center"/>
              <w:rPr>
                <w:rFonts w:ascii="宋体" w:hAnsi="宋体" w:cs="宋体"/>
                <w:kern w:val="0"/>
              </w:rPr>
            </w:pPr>
            <w:r>
              <w:rPr>
                <w:rFonts w:hint="eastAsia" w:ascii="宋体" w:hAnsi="宋体" w:cs="宋体"/>
                <w:kern w:val="0"/>
              </w:rPr>
              <w:t>药品包装材料、肥料和土壤调理剂等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95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spacing w:line="300" w:lineRule="auto"/>
              <w:jc w:val="left"/>
              <w:rPr>
                <w:rStyle w:val="233"/>
                <w:rFonts w:hint="default"/>
                <w:color w:val="auto"/>
              </w:rPr>
            </w:pPr>
          </w:p>
        </w:tc>
        <w:tc>
          <w:tcPr>
            <w:tcW w:w="1496"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农林牧鱼</w:t>
            </w:r>
          </w:p>
        </w:tc>
        <w:tc>
          <w:tcPr>
            <w:tcW w:w="6290"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农药</w:t>
            </w:r>
          </w:p>
          <w:p>
            <w:pPr>
              <w:widowControl/>
              <w:spacing w:line="300" w:lineRule="auto"/>
              <w:jc w:val="left"/>
              <w:textAlignment w:val="center"/>
              <w:rPr>
                <w:rFonts w:ascii="宋体" w:hAnsi="宋体" w:cs="宋体"/>
                <w:kern w:val="0"/>
              </w:rPr>
            </w:pPr>
            <w:r>
              <w:rPr>
                <w:rFonts w:hint="eastAsia" w:ascii="宋体" w:hAnsi="宋体" w:cs="宋体"/>
                <w:kern w:val="0"/>
              </w:rPr>
              <w:t>农药产品、肥料产品、兽药产品等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95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spacing w:line="300" w:lineRule="auto"/>
              <w:jc w:val="left"/>
              <w:rPr>
                <w:rStyle w:val="233"/>
                <w:rFonts w:hint="default"/>
                <w:color w:val="auto"/>
              </w:rPr>
            </w:pPr>
          </w:p>
        </w:tc>
        <w:tc>
          <w:tcPr>
            <w:tcW w:w="1496"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电子电气信息</w:t>
            </w:r>
          </w:p>
        </w:tc>
        <w:tc>
          <w:tcPr>
            <w:tcW w:w="6290"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电池及材料等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95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spacing w:line="300" w:lineRule="auto"/>
              <w:jc w:val="left"/>
              <w:rPr>
                <w:rStyle w:val="233"/>
                <w:rFonts w:hint="default"/>
                <w:color w:val="auto"/>
              </w:rPr>
            </w:pPr>
          </w:p>
        </w:tc>
        <w:tc>
          <w:tcPr>
            <w:tcW w:w="1496"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轻工</w:t>
            </w:r>
          </w:p>
        </w:tc>
        <w:tc>
          <w:tcPr>
            <w:tcW w:w="6290"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涂料及胶粘剂</w:t>
            </w:r>
          </w:p>
          <w:p>
            <w:pPr>
              <w:widowControl/>
              <w:spacing w:line="300" w:lineRule="auto"/>
              <w:jc w:val="left"/>
              <w:textAlignment w:val="center"/>
              <w:rPr>
                <w:rFonts w:hint="eastAsia" w:ascii="宋体" w:hAnsi="宋体" w:cs="宋体"/>
                <w:kern w:val="0"/>
              </w:rPr>
            </w:pPr>
            <w:r>
              <w:rPr>
                <w:rFonts w:hint="eastAsia" w:ascii="宋体" w:hAnsi="宋体" w:cs="宋体"/>
                <w:kern w:val="0"/>
              </w:rPr>
              <w:t>包装材料及制品、光伏配件、农业生产资料、（工业）橡塑制品、涂料、玻璃、光伏配件、胶粘剂、农业生产资料</w:t>
            </w:r>
          </w:p>
          <w:p>
            <w:pPr>
              <w:widowControl/>
              <w:spacing w:line="300" w:lineRule="auto"/>
              <w:jc w:val="left"/>
              <w:textAlignment w:val="center"/>
              <w:rPr>
                <w:rFonts w:ascii="宋体" w:hAnsi="宋体" w:cs="宋体"/>
                <w:kern w:val="0"/>
              </w:rPr>
            </w:pPr>
            <w:r>
              <w:rPr>
                <w:rFonts w:hint="eastAsia" w:ascii="宋体" w:hAnsi="宋体" w:cs="宋体"/>
                <w:kern w:val="0"/>
              </w:rPr>
              <w:t>贵金属、稀贵金属、饰品等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95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spacing w:line="300" w:lineRule="auto"/>
              <w:jc w:val="left"/>
              <w:rPr>
                <w:rStyle w:val="233"/>
                <w:rFonts w:hint="default"/>
                <w:color w:val="auto"/>
              </w:rPr>
            </w:pPr>
          </w:p>
        </w:tc>
        <w:tc>
          <w:tcPr>
            <w:tcW w:w="1496"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纺织服装</w:t>
            </w:r>
          </w:p>
        </w:tc>
        <w:tc>
          <w:tcPr>
            <w:tcW w:w="6290"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医用辅料及其防护用品、特种防护用品等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95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spacing w:line="300" w:lineRule="auto"/>
              <w:jc w:val="left"/>
              <w:rPr>
                <w:rStyle w:val="233"/>
                <w:rFonts w:hint="default"/>
                <w:color w:val="auto"/>
              </w:rPr>
            </w:pPr>
          </w:p>
        </w:tc>
        <w:tc>
          <w:tcPr>
            <w:tcW w:w="1496"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化工</w:t>
            </w:r>
          </w:p>
        </w:tc>
        <w:tc>
          <w:tcPr>
            <w:tcW w:w="6290"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气体、化学试剂、工业用油和相关产品、有机化工原料及产品、无机化工原料及产品、农药、化学试剂、有机化工原料及产品、无机化工原料及产品、燃料、涂料和颜料、石油添加剂</w:t>
            </w:r>
          </w:p>
          <w:p>
            <w:pPr>
              <w:widowControl/>
              <w:spacing w:line="300" w:lineRule="auto"/>
              <w:jc w:val="left"/>
              <w:textAlignment w:val="center"/>
              <w:rPr>
                <w:rFonts w:ascii="宋体" w:hAnsi="宋体" w:cs="宋体"/>
                <w:kern w:val="0"/>
              </w:rPr>
            </w:pPr>
            <w:r>
              <w:rPr>
                <w:rFonts w:hint="eastAsia" w:ascii="宋体" w:hAnsi="宋体" w:cs="宋体"/>
                <w:kern w:val="0"/>
              </w:rPr>
              <w:t>涂料和颜料、染料中间体、表面活性剂、肥料、气体、燃料润滑剂、石油蜡、石油添加剂、消毒产品、染料、水处理剂等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951"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Style w:val="233"/>
                <w:rFonts w:hint="default"/>
                <w:color w:val="auto"/>
              </w:rPr>
            </w:pPr>
          </w:p>
        </w:tc>
        <w:tc>
          <w:tcPr>
            <w:tcW w:w="1496"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能源</w:t>
            </w:r>
          </w:p>
        </w:tc>
        <w:tc>
          <w:tcPr>
            <w:tcW w:w="6290"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天然气、气体燃料、液化石油气、二甲醚、城镇燃气用二甲醚、原油、石油添加剂、工业用油</w:t>
            </w:r>
          </w:p>
          <w:p>
            <w:pPr>
              <w:widowControl/>
              <w:spacing w:line="300" w:lineRule="auto"/>
              <w:jc w:val="left"/>
              <w:textAlignment w:val="center"/>
              <w:rPr>
                <w:rFonts w:hint="eastAsia" w:ascii="宋体" w:hAnsi="宋体" w:cs="宋体"/>
                <w:kern w:val="0"/>
              </w:rPr>
            </w:pPr>
            <w:r>
              <w:rPr>
                <w:rFonts w:hint="eastAsia" w:ascii="宋体" w:hAnsi="宋体" w:cs="宋体"/>
                <w:kern w:val="0"/>
              </w:rPr>
              <w:t>润滑剂、润滑脂、润滑油等</w:t>
            </w:r>
          </w:p>
          <w:p>
            <w:pPr>
              <w:widowControl/>
              <w:spacing w:line="300" w:lineRule="auto"/>
              <w:jc w:val="left"/>
              <w:textAlignment w:val="center"/>
              <w:rPr>
                <w:rFonts w:ascii="宋体" w:hAnsi="宋体" w:cs="宋体"/>
                <w:kern w:val="0"/>
              </w:rPr>
            </w:pPr>
            <w:r>
              <w:rPr>
                <w:rFonts w:hint="eastAsia" w:ascii="宋体" w:hAnsi="宋体" w:cs="宋体"/>
                <w:kern w:val="0"/>
              </w:rPr>
              <w:t>光伏组件、光伏电池片、光伏零部件、光伏逆变器、光伏组件等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95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spacing w:line="300" w:lineRule="auto"/>
              <w:jc w:val="left"/>
              <w:rPr>
                <w:rStyle w:val="233"/>
                <w:rFonts w:hint="default"/>
                <w:color w:val="auto"/>
              </w:rPr>
            </w:pPr>
          </w:p>
        </w:tc>
        <w:tc>
          <w:tcPr>
            <w:tcW w:w="1496"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center"/>
              <w:textAlignment w:val="center"/>
              <w:rPr>
                <w:rStyle w:val="233"/>
                <w:rFonts w:hint="default"/>
                <w:color w:val="auto"/>
              </w:rPr>
            </w:pPr>
            <w:r>
              <w:rPr>
                <w:rStyle w:val="233"/>
                <w:rFonts w:hint="default"/>
                <w:color w:val="auto"/>
              </w:rPr>
              <w:t>采矿冶金</w:t>
            </w:r>
          </w:p>
        </w:tc>
        <w:tc>
          <w:tcPr>
            <w:tcW w:w="6290" w:type="dxa"/>
            <w:tcBorders>
              <w:top w:val="single" w:color="auto" w:sz="4" w:space="0"/>
              <w:left w:val="single" w:color="auto" w:sz="4" w:space="0"/>
              <w:bottom w:val="single" w:color="auto" w:sz="4" w:space="0"/>
              <w:right w:val="single" w:color="auto" w:sz="4" w:space="0"/>
            </w:tcBorders>
            <w:vAlign w:val="center"/>
          </w:tcPr>
          <w:p>
            <w:pPr>
              <w:widowControl/>
              <w:spacing w:line="300" w:lineRule="auto"/>
              <w:jc w:val="left"/>
              <w:textAlignment w:val="center"/>
              <w:rPr>
                <w:rFonts w:ascii="宋体" w:hAnsi="宋体" w:cs="宋体"/>
                <w:kern w:val="0"/>
              </w:rPr>
            </w:pPr>
            <w:r>
              <w:rPr>
                <w:rFonts w:hint="eastAsia" w:ascii="宋体" w:hAnsi="宋体" w:cs="宋体"/>
                <w:kern w:val="0"/>
              </w:rPr>
              <w:t>有色金属</w:t>
            </w:r>
          </w:p>
          <w:p>
            <w:pPr>
              <w:widowControl/>
              <w:spacing w:line="300" w:lineRule="auto"/>
              <w:jc w:val="left"/>
              <w:textAlignment w:val="center"/>
              <w:rPr>
                <w:rFonts w:ascii="宋体" w:hAnsi="宋体" w:cs="宋体"/>
                <w:kern w:val="0"/>
              </w:rPr>
            </w:pPr>
            <w:r>
              <w:rPr>
                <w:rFonts w:hint="eastAsia" w:ascii="宋体" w:hAnsi="宋体" w:cs="宋体"/>
                <w:kern w:val="0"/>
              </w:rPr>
              <w:t>黑色金属、金属制品等</w:t>
            </w:r>
          </w:p>
        </w:tc>
      </w:tr>
    </w:tbl>
    <w:p>
      <w:pPr>
        <w:pStyle w:val="40"/>
        <w:ind w:firstLine="0" w:firstLineChars="0"/>
        <w:sectPr>
          <w:pgSz w:w="11906" w:h="16838"/>
          <w:pgMar w:top="2410" w:right="1134" w:bottom="1134" w:left="1134" w:header="1418" w:footer="1134" w:gutter="284"/>
          <w:cols w:space="720" w:num="1"/>
          <w:formProt w:val="0"/>
          <w:docGrid w:type="lines" w:linePitch="312" w:charSpace="0"/>
        </w:sectPr>
      </w:pPr>
    </w:p>
    <w:p>
      <w:pPr>
        <w:pStyle w:val="172"/>
      </w:pPr>
    </w:p>
    <w:p>
      <w:pPr>
        <w:pStyle w:val="173"/>
      </w:pPr>
    </w:p>
    <w:p>
      <w:pPr>
        <w:pStyle w:val="59"/>
        <w:spacing w:before="78" w:after="156"/>
        <w:rPr>
          <w:rFonts w:hint="eastAsia"/>
        </w:rPr>
      </w:pPr>
      <w:bookmarkStart w:id="372" w:name="_Toc10030"/>
      <w:bookmarkStart w:id="373" w:name="_Toc3371"/>
      <w:r>
        <w:br/>
      </w:r>
      <w:r>
        <w:rPr>
          <w:rFonts w:hint="eastAsia"/>
        </w:rPr>
        <w:t>（资料性）</w:t>
      </w:r>
      <w:r>
        <w:br/>
      </w:r>
      <w:r>
        <w:rPr>
          <w:rFonts w:hint="eastAsia"/>
        </w:rPr>
        <w:t>司法鉴定告知书</w:t>
      </w:r>
      <w:bookmarkEnd w:id="372"/>
      <w:bookmarkEnd w:id="373"/>
    </w:p>
    <w:p>
      <w:pPr>
        <w:pStyle w:val="202"/>
        <w:jc w:val="left"/>
        <w:rPr>
          <w:rFonts w:ascii="Times New Roman"/>
        </w:rPr>
      </w:pPr>
      <w:r>
        <w:rPr>
          <w:rFonts w:hint="eastAsia" w:ascii="Times New Roman"/>
        </w:rPr>
        <w:t>一、司法鉴定是鉴定人运用科学技术或者专门知识对诉讼涉及的专门性问题进行鉴别和判断并提供鉴定意见的活动。</w:t>
      </w:r>
    </w:p>
    <w:p>
      <w:pPr>
        <w:pStyle w:val="202"/>
        <w:jc w:val="left"/>
        <w:rPr>
          <w:rFonts w:ascii="Times New Roman"/>
        </w:rPr>
      </w:pPr>
      <w:r>
        <w:rPr>
          <w:rFonts w:hint="eastAsia" w:ascii="Times New Roman"/>
        </w:rPr>
        <w:t>诉讼过程中，办案机关和当事人为解决举证中的专门问题需要鉴定的，可以委托司法鉴定机构进行鉴定。案件尚未进入诉讼阶段，当事人为解决举证中的专门性问题需要鉴定的，也可以委托司法鉴定机构进行鉴定。</w:t>
      </w:r>
    </w:p>
    <w:p>
      <w:pPr>
        <w:pStyle w:val="202"/>
        <w:jc w:val="left"/>
        <w:rPr>
          <w:rFonts w:ascii="Times New Roman"/>
        </w:rPr>
      </w:pPr>
      <w:r>
        <w:rPr>
          <w:rFonts w:hint="eastAsia" w:ascii="Times New Roman"/>
        </w:rPr>
        <w:t>二、司法鉴定机构必须在省司法厅登记许可的业务范围内开展鉴定业务，并安排本机构中具有相应类别执业资格的司法鉴定人进行鉴定。司法鉴定人不得私自接受委托进行鉴定。</w:t>
      </w:r>
    </w:p>
    <w:p>
      <w:pPr>
        <w:pStyle w:val="202"/>
        <w:jc w:val="left"/>
        <w:rPr>
          <w:rFonts w:ascii="Times New Roman"/>
        </w:rPr>
      </w:pPr>
      <w:r>
        <w:rPr>
          <w:rFonts w:hint="eastAsia" w:ascii="Times New Roman"/>
        </w:rPr>
        <w:t>三、委托人作出委托时，应当向司法鉴定机构出具鉴定委托书和鉴定所需材料。个人委托的，还应当提供本人身份证明。鉴定委托书应当载明委托人单位名称或者个人姓名、司法鉴定机构名称、委托鉴定对象、鉴定用途以及鉴定要求等内容。委托重新鉴定的，应当在委托书中注明，并提供原司法鉴定文书。委托他人代理的，应当出具授权委托书。</w:t>
      </w:r>
    </w:p>
    <w:p>
      <w:pPr>
        <w:pStyle w:val="202"/>
        <w:jc w:val="left"/>
        <w:rPr>
          <w:rFonts w:ascii="Times New Roman"/>
        </w:rPr>
      </w:pPr>
      <w:r>
        <w:rPr>
          <w:rFonts w:hint="eastAsia" w:ascii="Times New Roman"/>
        </w:rPr>
        <w:t>四、委托人认为司法鉴定人本人或者近亲属与委托人、委托鉴定事项或鉴定事项涉及的案件有利害关系，可能影响司法鉴定独立性、客观性和公正性的，可以要求司法鉴定人回避。如果司法鉴定机构不同意司法鉴定人回避，委托人可以撤销委托。</w:t>
      </w:r>
    </w:p>
    <w:p>
      <w:pPr>
        <w:pStyle w:val="202"/>
        <w:jc w:val="left"/>
        <w:rPr>
          <w:rFonts w:ascii="Times New Roman"/>
        </w:rPr>
      </w:pPr>
      <w:r>
        <w:rPr>
          <w:rFonts w:hint="eastAsia" w:ascii="Times New Roman"/>
        </w:rPr>
        <w:t>五、委托人发现委托鉴定事项有遗漏、新增加鉴定要求、在鉴定过程中有新的鉴定材料需提供或补充的，可以向接受委托的司法鉴定机构请求补充鉴定。</w:t>
      </w:r>
    </w:p>
    <w:p>
      <w:pPr>
        <w:pStyle w:val="202"/>
        <w:jc w:val="left"/>
        <w:rPr>
          <w:rFonts w:ascii="Times New Roman"/>
        </w:rPr>
      </w:pPr>
      <w:r>
        <w:rPr>
          <w:rFonts w:hint="eastAsia" w:ascii="Times New Roman"/>
        </w:rPr>
        <w:t>六、司法鉴定机构有责任对委托鉴定事项进行审查，通常情况下应在</w:t>
      </w:r>
      <w:r>
        <w:rPr>
          <w:rFonts w:ascii="Times New Roman"/>
        </w:rPr>
        <w:t>7</w:t>
      </w:r>
      <w:r>
        <w:rPr>
          <w:rFonts w:hint="eastAsia" w:ascii="Times New Roman"/>
        </w:rPr>
        <w:t>日内决定是否接受委托，并通知委托人。委托鉴定事项超出司法鉴定机构业务范围和能力、委托鉴定事项不合法，以及存在按规定不得受理的其他情形的，司法鉴定机构不接受委托；司法鉴定机构认为鉴定材料不完整、不充分的，可以要求委托人补充，如果委托人不予补充，司法鉴定机构可以不接受委托。</w:t>
      </w:r>
    </w:p>
    <w:p>
      <w:pPr>
        <w:pStyle w:val="202"/>
        <w:jc w:val="left"/>
        <w:rPr>
          <w:rFonts w:ascii="Times New Roman"/>
        </w:rPr>
      </w:pPr>
      <w:r>
        <w:rPr>
          <w:rFonts w:hint="eastAsia" w:ascii="Times New Roman"/>
        </w:rPr>
        <w:t>七、司法鉴定机构接受委托后，应当与委托人签订司法鉴定协议书，并在约定的期限内完成鉴定。如无约定，鉴定应在</w:t>
      </w:r>
      <w:r>
        <w:rPr>
          <w:rFonts w:ascii="Times New Roman"/>
        </w:rPr>
        <w:t>30</w:t>
      </w:r>
      <w:r>
        <w:rPr>
          <w:rFonts w:hint="eastAsia" w:ascii="Times New Roman"/>
        </w:rPr>
        <w:t>个工作日内完成。特殊情况下，鉴定期限可以再延长至多</w:t>
      </w:r>
      <w:r>
        <w:rPr>
          <w:rFonts w:ascii="Times New Roman"/>
        </w:rPr>
        <w:t>30</w:t>
      </w:r>
      <w:r>
        <w:rPr>
          <w:rFonts w:hint="eastAsia" w:ascii="Times New Roman"/>
        </w:rPr>
        <w:t>个工作日。鉴定过程中补充或者重新提取鉴定材料所需的时间，不计入鉴定时限。</w:t>
      </w:r>
    </w:p>
    <w:p>
      <w:pPr>
        <w:pStyle w:val="202"/>
        <w:jc w:val="left"/>
        <w:rPr>
          <w:rFonts w:ascii="Times New Roman"/>
        </w:rPr>
      </w:pPr>
      <w:r>
        <w:rPr>
          <w:rFonts w:hint="eastAsia" w:ascii="Times New Roman"/>
        </w:rPr>
        <w:t>八、司法鉴定收费实行政府指导价，收费项目和标准可以从江苏司法行政网（</w:t>
      </w:r>
      <w:r>
        <w:rPr>
          <w:rFonts w:ascii="Times New Roman"/>
        </w:rPr>
        <w:t>www.jssf.gov.cn</w:t>
      </w:r>
      <w:r>
        <w:rPr>
          <w:rFonts w:hint="eastAsia" w:ascii="Times New Roman"/>
        </w:rPr>
        <w:t>）查询。鉴定费用由司法鉴定机构统一收取，禁止司法鉴定人私自向委托人收费。司法鉴定机构除按规定收取费用外，不得向有关当事人收取其他任何财物。</w:t>
      </w:r>
    </w:p>
    <w:p>
      <w:pPr>
        <w:pStyle w:val="202"/>
        <w:jc w:val="left"/>
        <w:rPr>
          <w:rFonts w:ascii="Times New Roman"/>
        </w:rPr>
      </w:pPr>
      <w:r>
        <w:rPr>
          <w:rFonts w:hint="eastAsia" w:ascii="Times New Roman"/>
        </w:rPr>
        <w:t>九、现行司法鉴定收费项目中未包括司法鉴定人出庭的费用。该费用通常由申请出庭的一方当事人预付，由人民法院代收后转交司法鉴定机构。法律援助受援人凭法律援助决定书，享有缓交、减交或免交鉴定费的待遇。</w:t>
      </w:r>
    </w:p>
    <w:p>
      <w:pPr>
        <w:pStyle w:val="202"/>
        <w:jc w:val="left"/>
        <w:rPr>
          <w:rFonts w:ascii="Times New Roman"/>
        </w:rPr>
      </w:pPr>
      <w:r>
        <w:rPr>
          <w:rFonts w:hint="eastAsia" w:ascii="Times New Roman"/>
        </w:rPr>
        <w:t>十、公民、法人和其他组织认为司法鉴定机构和司法鉴定人在执业活动中有违法违规情形的，可以向司法鉴定机构住所地的司法行政机关投诉。</w:t>
      </w:r>
    </w:p>
    <w:p>
      <w:pPr>
        <w:pStyle w:val="202"/>
        <w:jc w:val="left"/>
        <w:rPr>
          <w:rFonts w:hint="eastAsia" w:ascii="Times New Roman"/>
          <w:lang w:val="en-US" w:eastAsia="zh-CN"/>
        </w:rPr>
      </w:pPr>
      <w:bookmarkStart w:id="378" w:name="_GoBack"/>
      <w:r>
        <w:rPr>
          <w:rFonts w:hint="eastAsia" w:ascii="Times New Roman"/>
          <w:lang w:val="en-US" w:eastAsia="zh-CN"/>
        </w:rPr>
        <w:t>行政主管部门投诉电话及地址：</w:t>
      </w:r>
    </w:p>
    <w:bookmarkEnd w:id="378"/>
    <w:p>
      <w:pPr>
        <w:pStyle w:val="202"/>
        <w:rPr>
          <w:rFonts w:ascii="仿宋" w:hAnsi="仿宋" w:eastAsia="仿宋"/>
          <w:sz w:val="28"/>
          <w:szCs w:val="28"/>
        </w:rPr>
      </w:pPr>
      <w:r>
        <w:rPr>
          <w:rFonts w:hint="eastAsia" w:ascii="Times New Roman"/>
        </w:rPr>
        <w:t>签字：</w:t>
      </w:r>
    </w:p>
    <w:p>
      <w:pPr>
        <w:pStyle w:val="40"/>
        <w:ind w:firstLine="420"/>
      </w:pPr>
    </w:p>
    <w:p>
      <w:pPr>
        <w:pStyle w:val="40"/>
        <w:ind w:firstLine="420"/>
      </w:pPr>
    </w:p>
    <w:p>
      <w:pPr>
        <w:pStyle w:val="40"/>
        <w:ind w:firstLine="420"/>
      </w:pPr>
    </w:p>
    <w:p>
      <w:pPr>
        <w:pStyle w:val="40"/>
        <w:ind w:firstLine="420"/>
        <w:sectPr>
          <w:pgSz w:w="11906" w:h="16838"/>
          <w:pgMar w:top="2410" w:right="1134" w:bottom="1134" w:left="1134" w:header="1418" w:footer="1134" w:gutter="284"/>
          <w:cols w:space="720" w:num="1"/>
          <w:formProt w:val="0"/>
          <w:docGrid w:type="lines" w:linePitch="312" w:charSpace="0"/>
        </w:sectPr>
      </w:pPr>
    </w:p>
    <w:p>
      <w:pPr>
        <w:pStyle w:val="172"/>
      </w:pPr>
    </w:p>
    <w:p>
      <w:pPr>
        <w:pStyle w:val="173"/>
      </w:pPr>
    </w:p>
    <w:p>
      <w:pPr>
        <w:pStyle w:val="59"/>
        <w:spacing w:before="78" w:after="156"/>
        <w:rPr>
          <w:rFonts w:hint="eastAsia"/>
        </w:rPr>
      </w:pPr>
      <w:bookmarkStart w:id="374" w:name="_Toc19319"/>
      <w:bookmarkStart w:id="375" w:name="_Toc3874"/>
      <w:r>
        <w:br/>
      </w:r>
      <w:r>
        <w:rPr>
          <w:rFonts w:hint="eastAsia"/>
        </w:rPr>
        <w:t>（资料性）</w:t>
      </w:r>
      <w:r>
        <w:br/>
      </w:r>
      <w:r>
        <w:rPr>
          <w:rFonts w:hint="eastAsia"/>
        </w:rPr>
        <w:t>现场勘查记录表</w:t>
      </w:r>
      <w:bookmarkEnd w:id="374"/>
      <w:bookmarkEnd w:id="375"/>
    </w:p>
    <w:p>
      <w:pPr>
        <w:pStyle w:val="201"/>
        <w:spacing w:line="360" w:lineRule="auto"/>
        <w:rPr>
          <w:rFonts w:ascii="Times New Roman" w:hAnsi="宋体" w:cs="Times New Roman"/>
          <w:color w:val="auto"/>
          <w:sz w:val="21"/>
          <w:szCs w:val="20"/>
        </w:rPr>
      </w:pPr>
      <w:r>
        <w:rPr>
          <w:rFonts w:hint="eastAsia" w:ascii="Times New Roman" w:hAnsi="宋体" w:cs="Times New Roman"/>
          <w:color w:val="auto"/>
          <w:sz w:val="21"/>
          <w:szCs w:val="20"/>
        </w:rPr>
        <w:t>案号</w:t>
      </w:r>
      <w:r>
        <w:rPr>
          <w:rFonts w:ascii="Times New Roman" w:hAnsi="宋体" w:cs="Times New Roman"/>
          <w:color w:val="auto"/>
          <w:sz w:val="21"/>
          <w:szCs w:val="20"/>
        </w:rPr>
        <w:t xml:space="preserve">:                               </w:t>
      </w:r>
      <w:r>
        <w:rPr>
          <w:rFonts w:hint="eastAsia" w:ascii="Times New Roman" w:hAnsi="宋体" w:cs="Times New Roman"/>
          <w:color w:val="auto"/>
          <w:sz w:val="21"/>
          <w:szCs w:val="20"/>
        </w:rPr>
        <w:t>编号：</w:t>
      </w:r>
    </w:p>
    <w:p>
      <w:pPr>
        <w:pStyle w:val="201"/>
        <w:kinsoku w:val="0"/>
        <w:overflowPunct w:val="0"/>
        <w:spacing w:line="360" w:lineRule="auto"/>
        <w:ind w:firstLine="525" w:firstLineChars="250"/>
        <w:jc w:val="both"/>
        <w:rPr>
          <w:rFonts w:ascii="Times New Roman" w:hAnsi="宋体" w:cs="Times New Roman"/>
          <w:color w:val="auto"/>
          <w:sz w:val="21"/>
          <w:szCs w:val="20"/>
        </w:rPr>
      </w:pPr>
      <w:r>
        <w:rPr>
          <w:rFonts w:ascii="Times New Roman" w:hAnsi="宋体" w:cs="Times New Roman"/>
          <w:color w:val="auto"/>
          <w:sz w:val="21"/>
          <w:szCs w:val="20"/>
        </w:rPr>
        <w:t>_____</w:t>
      </w:r>
      <w:r>
        <w:rPr>
          <w:rFonts w:hint="eastAsia" w:ascii="Times New Roman" w:hAnsi="宋体" w:cs="Times New Roman"/>
          <w:color w:val="auto"/>
          <w:sz w:val="21"/>
          <w:szCs w:val="20"/>
        </w:rPr>
        <w:t>年</w:t>
      </w:r>
      <w:r>
        <w:rPr>
          <w:rFonts w:ascii="Times New Roman" w:hAnsi="宋体" w:cs="Times New Roman"/>
          <w:color w:val="auto"/>
          <w:sz w:val="21"/>
          <w:szCs w:val="20"/>
        </w:rPr>
        <w:t>____</w:t>
      </w:r>
      <w:r>
        <w:rPr>
          <w:rFonts w:hint="eastAsia" w:ascii="Times New Roman" w:hAnsi="宋体" w:cs="Times New Roman"/>
          <w:color w:val="auto"/>
          <w:sz w:val="21"/>
          <w:szCs w:val="20"/>
        </w:rPr>
        <w:t>月</w:t>
      </w:r>
      <w:r>
        <w:rPr>
          <w:rFonts w:ascii="Times New Roman" w:hAnsi="宋体" w:cs="Times New Roman"/>
          <w:color w:val="auto"/>
          <w:sz w:val="21"/>
          <w:szCs w:val="20"/>
        </w:rPr>
        <w:t>____</w:t>
      </w:r>
      <w:r>
        <w:rPr>
          <w:rFonts w:hint="eastAsia" w:ascii="Times New Roman" w:hAnsi="宋体" w:cs="Times New Roman"/>
          <w:color w:val="auto"/>
          <w:sz w:val="21"/>
          <w:szCs w:val="20"/>
        </w:rPr>
        <w:t>日</w:t>
      </w:r>
      <w:r>
        <w:rPr>
          <w:rFonts w:ascii="Times New Roman" w:hAnsi="宋体" w:cs="Times New Roman"/>
          <w:color w:val="auto"/>
          <w:sz w:val="21"/>
          <w:szCs w:val="20"/>
        </w:rPr>
        <w:t>____</w:t>
      </w:r>
      <w:r>
        <w:rPr>
          <w:rFonts w:hint="eastAsia" w:ascii="Times New Roman" w:hAnsi="宋体" w:cs="Times New Roman"/>
          <w:color w:val="auto"/>
          <w:sz w:val="21"/>
          <w:szCs w:val="20"/>
        </w:rPr>
        <w:t>午，由</w:t>
      </w:r>
      <w:r>
        <w:rPr>
          <w:rFonts w:ascii="Times New Roman" w:hAnsi="宋体" w:cs="Times New Roman"/>
          <w:color w:val="auto"/>
          <w:sz w:val="21"/>
          <w:szCs w:val="20"/>
        </w:rPr>
        <w:t>_____________________</w:t>
      </w:r>
      <w:r>
        <w:rPr>
          <w:rFonts w:hint="eastAsia" w:ascii="Times New Roman" w:hAnsi="宋体" w:cs="Times New Roman"/>
          <w:color w:val="auto"/>
          <w:sz w:val="21"/>
          <w:szCs w:val="20"/>
        </w:rPr>
        <w:t>人民法院组织，在</w:t>
      </w:r>
      <w:r>
        <w:rPr>
          <w:rFonts w:ascii="Times New Roman" w:hAnsi="宋体" w:cs="Times New Roman"/>
          <w:color w:val="auto"/>
          <w:sz w:val="21"/>
          <w:szCs w:val="20"/>
        </w:rPr>
        <w:t>_________________</w:t>
      </w:r>
      <w:r>
        <w:rPr>
          <w:rFonts w:hint="eastAsia" w:ascii="Times New Roman" w:hAnsi="宋体" w:cs="Times New Roman"/>
          <w:color w:val="auto"/>
          <w:sz w:val="21"/>
          <w:szCs w:val="20"/>
        </w:rPr>
        <w:t>法官见证下，</w:t>
      </w:r>
      <w:r>
        <w:rPr>
          <w:rFonts w:ascii="Times New Roman" w:hAnsi="宋体" w:cs="Times New Roman"/>
          <w:color w:val="auto"/>
          <w:sz w:val="21"/>
          <w:szCs w:val="20"/>
        </w:rPr>
        <w:t>__________________</w:t>
      </w:r>
      <w:r>
        <w:rPr>
          <w:rFonts w:hint="eastAsia" w:ascii="Times New Roman" w:hAnsi="宋体" w:cs="Times New Roman"/>
          <w:color w:val="auto"/>
          <w:sz w:val="21"/>
          <w:szCs w:val="20"/>
        </w:rPr>
        <w:t>司法鉴定机构司法鉴定人</w:t>
      </w:r>
      <w:r>
        <w:rPr>
          <w:rFonts w:ascii="Times New Roman" w:hAnsi="宋体" w:cs="Times New Roman"/>
          <w:color w:val="auto"/>
          <w:sz w:val="21"/>
          <w:szCs w:val="20"/>
        </w:rPr>
        <w:t>________________</w:t>
      </w:r>
      <w:r>
        <w:rPr>
          <w:rFonts w:hint="eastAsia" w:ascii="Times New Roman" w:hAnsi="宋体" w:cs="Times New Roman"/>
          <w:color w:val="auto"/>
          <w:sz w:val="21"/>
          <w:szCs w:val="20"/>
        </w:rPr>
        <w:t>、</w:t>
      </w:r>
      <w:r>
        <w:rPr>
          <w:rFonts w:ascii="Times New Roman" w:hAnsi="宋体" w:cs="Times New Roman"/>
          <w:color w:val="auto"/>
          <w:sz w:val="21"/>
          <w:szCs w:val="20"/>
        </w:rPr>
        <w:t>_____________</w:t>
      </w:r>
      <w:r>
        <w:rPr>
          <w:rFonts w:hint="eastAsia" w:ascii="Times New Roman" w:hAnsi="宋体" w:cs="Times New Roman"/>
          <w:color w:val="auto"/>
          <w:sz w:val="21"/>
          <w:szCs w:val="20"/>
        </w:rPr>
        <w:t>，工作人员</w:t>
      </w:r>
      <w:r>
        <w:rPr>
          <w:rFonts w:ascii="Times New Roman" w:hAnsi="宋体" w:cs="Times New Roman"/>
          <w:color w:val="auto"/>
          <w:sz w:val="21"/>
          <w:szCs w:val="20"/>
        </w:rPr>
        <w:t>______________</w:t>
      </w:r>
      <w:r>
        <w:rPr>
          <w:rFonts w:hint="eastAsia" w:ascii="Times New Roman" w:hAnsi="宋体" w:cs="Times New Roman"/>
          <w:color w:val="auto"/>
          <w:sz w:val="21"/>
          <w:szCs w:val="20"/>
        </w:rPr>
        <w:t>、</w:t>
      </w:r>
      <w:r>
        <w:rPr>
          <w:rFonts w:ascii="Times New Roman" w:hAnsi="宋体" w:cs="Times New Roman"/>
          <w:color w:val="auto"/>
          <w:sz w:val="21"/>
          <w:szCs w:val="20"/>
        </w:rPr>
        <w:t>_______________</w:t>
      </w:r>
      <w:r>
        <w:rPr>
          <w:rFonts w:hint="eastAsia" w:ascii="Times New Roman" w:hAnsi="宋体" w:cs="Times New Roman"/>
          <w:color w:val="auto"/>
          <w:sz w:val="21"/>
          <w:szCs w:val="20"/>
        </w:rPr>
        <w:t>会同诉讼当事人（原告）</w:t>
      </w:r>
      <w:r>
        <w:rPr>
          <w:rFonts w:ascii="Times New Roman" w:hAnsi="宋体" w:cs="Times New Roman"/>
          <w:color w:val="auto"/>
          <w:sz w:val="21"/>
          <w:szCs w:val="20"/>
        </w:rPr>
        <w:t>______________________</w:t>
      </w:r>
      <w:r>
        <w:rPr>
          <w:rFonts w:hint="eastAsia" w:ascii="Times New Roman" w:hAnsi="宋体" w:cs="Times New Roman"/>
          <w:color w:val="auto"/>
          <w:sz w:val="21"/>
          <w:szCs w:val="20"/>
        </w:rPr>
        <w:t>代表</w:t>
      </w:r>
      <w:r>
        <w:rPr>
          <w:rFonts w:ascii="Times New Roman" w:hAnsi="宋体" w:cs="Times New Roman"/>
          <w:color w:val="auto"/>
          <w:sz w:val="21"/>
          <w:szCs w:val="20"/>
        </w:rPr>
        <w:t>__________________</w:t>
      </w:r>
      <w:r>
        <w:rPr>
          <w:rFonts w:hint="eastAsia" w:ascii="Times New Roman" w:hAnsi="宋体" w:cs="Times New Roman"/>
          <w:color w:val="auto"/>
          <w:sz w:val="21"/>
          <w:szCs w:val="20"/>
        </w:rPr>
        <w:t>或代理人</w:t>
      </w:r>
      <w:r>
        <w:rPr>
          <w:rFonts w:ascii="Times New Roman" w:hAnsi="宋体" w:cs="Times New Roman"/>
          <w:color w:val="auto"/>
          <w:sz w:val="21"/>
          <w:szCs w:val="20"/>
        </w:rPr>
        <w:t>_____________</w:t>
      </w:r>
      <w:r>
        <w:rPr>
          <w:rFonts w:hint="eastAsia" w:ascii="Times New Roman" w:hAnsi="宋体" w:cs="Times New Roman"/>
          <w:color w:val="auto"/>
          <w:sz w:val="21"/>
          <w:szCs w:val="20"/>
        </w:rPr>
        <w:t>，诉讼当事人（被告）</w:t>
      </w:r>
      <w:r>
        <w:rPr>
          <w:rFonts w:ascii="Times New Roman" w:hAnsi="宋体" w:cs="Times New Roman"/>
          <w:color w:val="auto"/>
          <w:sz w:val="21"/>
          <w:szCs w:val="20"/>
        </w:rPr>
        <w:t>______________________</w:t>
      </w:r>
      <w:r>
        <w:rPr>
          <w:rFonts w:hint="eastAsia" w:ascii="Times New Roman" w:hAnsi="宋体" w:cs="Times New Roman"/>
          <w:color w:val="auto"/>
          <w:sz w:val="21"/>
          <w:szCs w:val="20"/>
        </w:rPr>
        <w:t>代表</w:t>
      </w:r>
      <w:r>
        <w:rPr>
          <w:rFonts w:ascii="Times New Roman" w:hAnsi="宋体" w:cs="Times New Roman"/>
          <w:color w:val="auto"/>
          <w:sz w:val="21"/>
          <w:szCs w:val="20"/>
        </w:rPr>
        <w:t>________________</w:t>
      </w:r>
      <w:r>
        <w:rPr>
          <w:rFonts w:hint="eastAsia" w:ascii="Times New Roman" w:hAnsi="宋体" w:cs="Times New Roman"/>
          <w:color w:val="auto"/>
          <w:sz w:val="21"/>
          <w:szCs w:val="20"/>
        </w:rPr>
        <w:t>及代理人</w:t>
      </w:r>
      <w:r>
        <w:rPr>
          <w:rFonts w:ascii="Times New Roman" w:hAnsi="宋体" w:cs="Times New Roman"/>
          <w:color w:val="auto"/>
          <w:sz w:val="21"/>
          <w:szCs w:val="20"/>
        </w:rPr>
        <w:t>________________________</w:t>
      </w:r>
      <w:r>
        <w:rPr>
          <w:rFonts w:hint="eastAsia" w:ascii="Times New Roman" w:hAnsi="宋体" w:cs="Times New Roman"/>
          <w:color w:val="auto"/>
          <w:sz w:val="21"/>
          <w:szCs w:val="20"/>
        </w:rPr>
        <w:t>，共同到达本案现场，对</w:t>
      </w:r>
      <w:r>
        <w:rPr>
          <w:rFonts w:ascii="Times New Roman" w:hAnsi="宋体" w:cs="Times New Roman"/>
          <w:color w:val="auto"/>
          <w:sz w:val="21"/>
          <w:szCs w:val="20"/>
        </w:rPr>
        <w:t>________________________________</w:t>
      </w:r>
      <w:r>
        <w:rPr>
          <w:rFonts w:hint="eastAsia" w:ascii="Times New Roman" w:hAnsi="宋体" w:cs="Times New Roman"/>
          <w:color w:val="auto"/>
          <w:sz w:val="21"/>
          <w:szCs w:val="20"/>
        </w:rPr>
        <w:t>进行了受理前调查，现记录如下：</w:t>
      </w:r>
    </w:p>
    <w:p>
      <w:pPr>
        <w:pStyle w:val="201"/>
        <w:kinsoku w:val="0"/>
        <w:overflowPunct w:val="0"/>
        <w:spacing w:line="360" w:lineRule="auto"/>
        <w:rPr>
          <w:rFonts w:ascii="Times New Roman" w:hAnsi="宋体" w:cs="Times New Roman"/>
          <w:color w:val="auto"/>
          <w:sz w:val="21"/>
          <w:szCs w:val="20"/>
        </w:rPr>
      </w:pPr>
      <w:r>
        <w:rPr>
          <w:rFonts w:ascii="Times New Roman" w:hAnsi="宋体" w:cs="Times New Roman"/>
          <w:color w:val="auto"/>
          <w:sz w:val="21"/>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spacing w:line="360" w:lineRule="auto"/>
        <w:rPr>
          <w:rFonts w:ascii="Times New Roman" w:hAnsi="宋体"/>
          <w:szCs w:val="20"/>
        </w:rPr>
      </w:pPr>
      <w:r>
        <w:rPr>
          <w:rFonts w:hint="eastAsia" w:ascii="Times New Roman" w:hAnsi="宋体"/>
          <w:szCs w:val="20"/>
        </w:rPr>
        <w:t>委托人签名：</w:t>
      </w:r>
      <w:r>
        <w:rPr>
          <w:rFonts w:ascii="Times New Roman" w:hAnsi="宋体"/>
          <w:szCs w:val="20"/>
        </w:rPr>
        <w:t xml:space="preserve">                                                    </w:t>
      </w:r>
      <w:r>
        <w:rPr>
          <w:rFonts w:hint="eastAsia" w:ascii="Times New Roman" w:hAnsi="宋体"/>
          <w:szCs w:val="20"/>
        </w:rPr>
        <w:t>电话：</w:t>
      </w:r>
    </w:p>
    <w:p>
      <w:pPr>
        <w:spacing w:line="360" w:lineRule="auto"/>
        <w:rPr>
          <w:rFonts w:ascii="Times New Roman" w:hAnsi="宋体"/>
          <w:szCs w:val="20"/>
        </w:rPr>
      </w:pPr>
      <w:r>
        <w:rPr>
          <w:rFonts w:hint="eastAsia" w:ascii="Times New Roman" w:hAnsi="宋体"/>
          <w:szCs w:val="20"/>
        </w:rPr>
        <w:t>司法鉴定人签名：</w:t>
      </w:r>
      <w:r>
        <w:rPr>
          <w:rFonts w:ascii="Times New Roman" w:hAnsi="宋体"/>
          <w:szCs w:val="20"/>
        </w:rPr>
        <w:t xml:space="preserve">                                                </w:t>
      </w:r>
      <w:r>
        <w:rPr>
          <w:rFonts w:hint="eastAsia" w:ascii="Times New Roman" w:hAnsi="宋体"/>
          <w:szCs w:val="20"/>
        </w:rPr>
        <w:t>电话：</w:t>
      </w:r>
    </w:p>
    <w:p>
      <w:pPr>
        <w:spacing w:line="360" w:lineRule="auto"/>
        <w:rPr>
          <w:rFonts w:ascii="Times New Roman" w:hAnsi="宋体"/>
          <w:szCs w:val="20"/>
        </w:rPr>
      </w:pPr>
      <w:r>
        <w:rPr>
          <w:rFonts w:hint="eastAsia" w:ascii="Times New Roman" w:hAnsi="宋体"/>
          <w:szCs w:val="20"/>
        </w:rPr>
        <w:t>诉讼当事人（原告）</w:t>
      </w:r>
      <w:r>
        <w:rPr>
          <w:rFonts w:ascii="Times New Roman" w:hAnsi="宋体"/>
          <w:szCs w:val="20"/>
        </w:rPr>
        <w:t>/</w:t>
      </w:r>
      <w:r>
        <w:rPr>
          <w:rFonts w:hint="eastAsia" w:ascii="Times New Roman" w:hAnsi="宋体"/>
          <w:szCs w:val="20"/>
        </w:rPr>
        <w:t>代表</w:t>
      </w:r>
      <w:r>
        <w:rPr>
          <w:rFonts w:ascii="Times New Roman" w:hAnsi="宋体"/>
          <w:szCs w:val="20"/>
        </w:rPr>
        <w:t>/</w:t>
      </w:r>
      <w:r>
        <w:rPr>
          <w:rFonts w:hint="eastAsia" w:ascii="Times New Roman" w:hAnsi="宋体"/>
          <w:szCs w:val="20"/>
        </w:rPr>
        <w:t>代理人签名：</w:t>
      </w:r>
      <w:r>
        <w:rPr>
          <w:rFonts w:ascii="Times New Roman" w:hAnsi="宋体"/>
          <w:szCs w:val="20"/>
        </w:rPr>
        <w:t xml:space="preserve">                             </w:t>
      </w:r>
      <w:r>
        <w:rPr>
          <w:rFonts w:hint="eastAsia" w:ascii="Times New Roman" w:hAnsi="宋体"/>
          <w:szCs w:val="20"/>
        </w:rPr>
        <w:t>电话：</w:t>
      </w:r>
    </w:p>
    <w:p>
      <w:pPr>
        <w:spacing w:line="360" w:lineRule="auto"/>
        <w:rPr>
          <w:rFonts w:ascii="Times New Roman" w:hAnsi="宋体"/>
          <w:szCs w:val="20"/>
        </w:rPr>
      </w:pPr>
      <w:r>
        <w:rPr>
          <w:rFonts w:hint="eastAsia" w:ascii="Times New Roman" w:hAnsi="宋体"/>
          <w:szCs w:val="20"/>
        </w:rPr>
        <w:t>诉讼当事人（被告）</w:t>
      </w:r>
      <w:r>
        <w:rPr>
          <w:rFonts w:ascii="Times New Roman" w:hAnsi="宋体"/>
          <w:szCs w:val="20"/>
        </w:rPr>
        <w:t>/</w:t>
      </w:r>
      <w:r>
        <w:rPr>
          <w:rFonts w:hint="eastAsia" w:ascii="Times New Roman" w:hAnsi="宋体"/>
          <w:szCs w:val="20"/>
        </w:rPr>
        <w:t>代表</w:t>
      </w:r>
      <w:r>
        <w:rPr>
          <w:rFonts w:ascii="Times New Roman" w:hAnsi="宋体"/>
          <w:szCs w:val="20"/>
        </w:rPr>
        <w:t>/</w:t>
      </w:r>
      <w:r>
        <w:rPr>
          <w:rFonts w:hint="eastAsia" w:ascii="Times New Roman" w:hAnsi="宋体"/>
          <w:szCs w:val="20"/>
        </w:rPr>
        <w:t>代理人签名：</w:t>
      </w:r>
      <w:r>
        <w:rPr>
          <w:rFonts w:ascii="Times New Roman" w:hAnsi="宋体"/>
          <w:szCs w:val="20"/>
        </w:rPr>
        <w:t xml:space="preserve">                             </w:t>
      </w:r>
      <w:r>
        <w:rPr>
          <w:rFonts w:hint="eastAsia" w:ascii="Times New Roman" w:hAnsi="宋体"/>
          <w:szCs w:val="20"/>
        </w:rPr>
        <w:t>电话：</w:t>
      </w:r>
    </w:p>
    <w:p>
      <w:pPr>
        <w:spacing w:line="360" w:lineRule="auto"/>
        <w:rPr>
          <w:rFonts w:ascii="Times New Roman" w:hAnsi="宋体"/>
          <w:szCs w:val="20"/>
        </w:rPr>
      </w:pPr>
    </w:p>
    <w:p>
      <w:pPr>
        <w:pStyle w:val="202"/>
        <w:rPr>
          <w:rFonts w:ascii="Times New Roman"/>
        </w:rPr>
      </w:pPr>
      <w:r>
        <w:rPr>
          <w:rFonts w:hint="eastAsia" w:ascii="Times New Roman"/>
        </w:rPr>
        <w:t>附件资料：</w:t>
      </w:r>
    </w:p>
    <w:p>
      <w:pPr>
        <w:pStyle w:val="40"/>
        <w:ind w:firstLine="420"/>
      </w:pPr>
    </w:p>
    <w:p>
      <w:pPr>
        <w:pStyle w:val="40"/>
        <w:ind w:firstLine="420"/>
      </w:pPr>
    </w:p>
    <w:p>
      <w:pPr>
        <w:pStyle w:val="40"/>
        <w:ind w:firstLine="420"/>
      </w:pPr>
    </w:p>
    <w:p>
      <w:pPr>
        <w:pStyle w:val="40"/>
        <w:ind w:firstLine="420"/>
        <w:sectPr>
          <w:pgSz w:w="11906" w:h="16838"/>
          <w:pgMar w:top="2410" w:right="1134" w:bottom="1134" w:left="1134" w:header="1418" w:footer="1134" w:gutter="284"/>
          <w:cols w:space="720" w:num="1"/>
          <w:formProt w:val="0"/>
          <w:docGrid w:type="lines" w:linePitch="312" w:charSpace="0"/>
        </w:sectPr>
      </w:pPr>
    </w:p>
    <w:p>
      <w:pPr>
        <w:pStyle w:val="172"/>
      </w:pPr>
    </w:p>
    <w:p>
      <w:pPr>
        <w:pStyle w:val="173"/>
      </w:pPr>
    </w:p>
    <w:p>
      <w:pPr>
        <w:pStyle w:val="59"/>
        <w:spacing w:before="78" w:after="156"/>
        <w:rPr>
          <w:rFonts w:hint="eastAsia"/>
        </w:rPr>
      </w:pPr>
      <w:bookmarkStart w:id="376" w:name="_Toc31055"/>
      <w:bookmarkStart w:id="377" w:name="_Toc10491"/>
      <w:r>
        <w:br/>
      </w:r>
      <w:r>
        <w:rPr>
          <w:rFonts w:hint="eastAsia"/>
        </w:rPr>
        <w:t>（资料性）</w:t>
      </w:r>
      <w:r>
        <w:br/>
      </w:r>
      <w:r>
        <w:rPr>
          <w:rFonts w:hint="eastAsia"/>
        </w:rPr>
        <w:t>司法鉴定内部复核意见书</w:t>
      </w:r>
      <w:bookmarkEnd w:id="376"/>
      <w:bookmarkEnd w:id="377"/>
    </w:p>
    <w:p>
      <w:pPr>
        <w:pStyle w:val="40"/>
        <w:wordWrap w:val="0"/>
        <w:ind w:firstLine="420"/>
        <w:jc w:val="right"/>
        <w:rPr>
          <w:u w:val="single"/>
        </w:rPr>
      </w:pPr>
      <w:r>
        <w:rPr>
          <w:rFonts w:hint="eastAsia"/>
        </w:rPr>
        <w:t>(编号)</w:t>
      </w:r>
      <w:r>
        <w:rPr>
          <w:rFonts w:hint="eastAsia"/>
          <w:u w:val="single"/>
        </w:rPr>
        <w:t xml:space="preserve">                 </w:t>
      </w:r>
    </w:p>
    <w:p>
      <w:pPr>
        <w:pStyle w:val="40"/>
        <w:ind w:firstLine="420"/>
        <w:rPr>
          <w:rFonts w:hint="eastAsia"/>
        </w:rPr>
      </w:pPr>
      <w:r>
        <w:rPr>
          <w:rFonts w:hint="eastAsia"/>
        </w:rPr>
        <w:t>一、基本情况：</w:t>
      </w:r>
    </w:p>
    <w:p>
      <w:pPr>
        <w:pStyle w:val="40"/>
        <w:ind w:firstLine="420"/>
        <w:rPr>
          <w:rFonts w:hint="eastAsia"/>
        </w:rPr>
      </w:pPr>
      <w:r>
        <w:rPr>
          <w:rFonts w:hint="eastAsia"/>
        </w:rPr>
        <w:t>(一)   司法鉴定案件编号：</w:t>
      </w:r>
    </w:p>
    <w:p>
      <w:pPr>
        <w:pStyle w:val="40"/>
        <w:ind w:firstLine="420"/>
        <w:rPr>
          <w:rFonts w:hint="eastAsia"/>
        </w:rPr>
      </w:pPr>
      <w:r>
        <w:rPr>
          <w:rFonts w:hint="eastAsia"/>
        </w:rPr>
        <w:t>(二)   司法鉴定人：</w:t>
      </w:r>
    </w:p>
    <w:p>
      <w:pPr>
        <w:pStyle w:val="40"/>
        <w:ind w:firstLine="420"/>
        <w:rPr>
          <w:rFonts w:hint="eastAsia"/>
        </w:rPr>
      </w:pPr>
      <w:r>
        <w:rPr>
          <w:rFonts w:hint="eastAsia"/>
        </w:rPr>
        <w:t>(三)   司法鉴定意见：</w:t>
      </w:r>
    </w:p>
    <w:p>
      <w:pPr>
        <w:pStyle w:val="40"/>
        <w:ind w:firstLine="420"/>
        <w:rPr>
          <w:rFonts w:hint="eastAsia"/>
        </w:rPr>
      </w:pPr>
      <w:r>
        <w:rPr>
          <w:rFonts w:hint="eastAsia"/>
        </w:rPr>
        <w:t>二、复核意见：</w:t>
      </w:r>
    </w:p>
    <w:p>
      <w:pPr>
        <w:pStyle w:val="40"/>
        <w:ind w:firstLine="420"/>
        <w:rPr>
          <w:rFonts w:hint="eastAsia"/>
        </w:rPr>
      </w:pPr>
      <w:r>
        <w:rPr>
          <w:rFonts w:hint="eastAsia"/>
        </w:rPr>
        <w:t>(一)关于鉴定程序</w:t>
      </w:r>
    </w:p>
    <w:p>
      <w:pPr>
        <w:pStyle w:val="40"/>
        <w:ind w:firstLine="420"/>
        <w:rPr>
          <w:rFonts w:hint="eastAsia"/>
        </w:rPr>
      </w:pPr>
      <w:r>
        <w:rPr>
          <w:rFonts w:hint="eastAsia"/>
        </w:rPr>
        <w:t>1.委托及受理是否符合要求： 口是  □否</w:t>
      </w:r>
    </w:p>
    <w:p>
      <w:pPr>
        <w:pStyle w:val="40"/>
        <w:ind w:firstLine="420"/>
        <w:rPr>
          <w:rFonts w:hint="eastAsia"/>
          <w:u w:val="single"/>
        </w:rPr>
      </w:pPr>
      <w:r>
        <w:rPr>
          <w:rFonts w:hint="eastAsia"/>
        </w:rPr>
        <w:t>存在问题：</w:t>
      </w:r>
    </w:p>
    <w:p>
      <w:pPr>
        <w:pStyle w:val="40"/>
        <w:ind w:firstLine="420"/>
        <w:rPr>
          <w:rFonts w:hint="eastAsia"/>
        </w:rPr>
      </w:pPr>
      <w:r>
        <w:rPr>
          <w:rFonts w:hint="eastAsia"/>
        </w:rPr>
        <w:t>2.鉴定材料及获取是否符合要求： 口是  □否</w:t>
      </w:r>
    </w:p>
    <w:p>
      <w:pPr>
        <w:pStyle w:val="40"/>
        <w:ind w:firstLine="420"/>
        <w:rPr>
          <w:rFonts w:hint="eastAsia"/>
          <w:u w:val="single"/>
        </w:rPr>
      </w:pPr>
      <w:r>
        <w:rPr>
          <w:rFonts w:hint="eastAsia"/>
        </w:rPr>
        <w:t>存在问题：</w:t>
      </w:r>
    </w:p>
    <w:p>
      <w:pPr>
        <w:pStyle w:val="40"/>
        <w:ind w:firstLine="420"/>
        <w:rPr>
          <w:rFonts w:hint="eastAsia"/>
        </w:rPr>
      </w:pPr>
      <w:r>
        <w:rPr>
          <w:rFonts w:hint="eastAsia"/>
        </w:rPr>
        <w:t>3.鉴定人是否符合要求： 口是  □否</w:t>
      </w:r>
    </w:p>
    <w:p>
      <w:pPr>
        <w:pStyle w:val="40"/>
        <w:ind w:firstLine="420"/>
        <w:rPr>
          <w:rFonts w:hint="eastAsia"/>
          <w:u w:val="single"/>
        </w:rPr>
      </w:pPr>
      <w:r>
        <w:rPr>
          <w:rFonts w:hint="eastAsia"/>
        </w:rPr>
        <w:t>存在问题：</w:t>
      </w:r>
    </w:p>
    <w:p>
      <w:pPr>
        <w:pStyle w:val="40"/>
        <w:numPr>
          <w:ilvl w:val="0"/>
          <w:numId w:val="42"/>
        </w:numPr>
        <w:ind w:firstLine="420"/>
        <w:rPr>
          <w:rFonts w:hint="eastAsia"/>
        </w:rPr>
      </w:pPr>
      <w:r>
        <w:rPr>
          <w:rFonts w:hint="eastAsia"/>
        </w:rPr>
        <w:t>鉴定过程记录及文本格式等是否符合要求： 口是  □否</w:t>
      </w:r>
    </w:p>
    <w:p>
      <w:pPr>
        <w:pStyle w:val="40"/>
        <w:ind w:firstLine="420"/>
        <w:rPr>
          <w:rFonts w:hint="eastAsia"/>
          <w:u w:val="single"/>
        </w:rPr>
      </w:pPr>
      <w:r>
        <w:rPr>
          <w:rFonts w:hint="eastAsia"/>
        </w:rPr>
        <w:t>存在问题：</w:t>
      </w:r>
    </w:p>
    <w:p>
      <w:pPr>
        <w:pStyle w:val="40"/>
        <w:ind w:firstLine="420"/>
        <w:rPr>
          <w:rFonts w:hint="eastAsia"/>
        </w:rPr>
      </w:pPr>
      <w:r>
        <w:rPr>
          <w:rFonts w:hint="eastAsia"/>
        </w:rPr>
        <w:t>5.是否属于涉及复杂、疑难、特殊技术问题或者重新鉴定的鉴定事项： 口是  □否</w:t>
      </w:r>
    </w:p>
    <w:p>
      <w:pPr>
        <w:pStyle w:val="40"/>
        <w:ind w:firstLine="420"/>
        <w:rPr>
          <w:rFonts w:hint="eastAsia"/>
          <w:u w:val="single"/>
        </w:rPr>
      </w:pPr>
      <w:r>
        <w:rPr>
          <w:rFonts w:hint="eastAsia"/>
        </w:rPr>
        <w:t>存在问题：</w:t>
      </w:r>
    </w:p>
    <w:p>
      <w:pPr>
        <w:pStyle w:val="40"/>
        <w:ind w:firstLine="420"/>
        <w:rPr>
          <w:rFonts w:hint="eastAsia"/>
        </w:rPr>
      </w:pPr>
      <w:r>
        <w:rPr>
          <w:rFonts w:hint="eastAsia"/>
        </w:rPr>
        <w:t>6.其他：</w:t>
      </w:r>
    </w:p>
    <w:p>
      <w:pPr>
        <w:pStyle w:val="40"/>
        <w:ind w:firstLine="420"/>
        <w:rPr>
          <w:rFonts w:hint="eastAsia"/>
        </w:rPr>
      </w:pPr>
      <w:r>
        <w:rPr>
          <w:rFonts w:hint="eastAsia"/>
        </w:rPr>
        <w:t>(二) 关于鉴定意见：</w:t>
      </w:r>
    </w:p>
    <w:p>
      <w:pPr>
        <w:pStyle w:val="40"/>
        <w:ind w:firstLine="420"/>
        <w:rPr>
          <w:rFonts w:hint="eastAsia"/>
        </w:rPr>
      </w:pPr>
      <w:r>
        <w:rPr>
          <w:rFonts w:hint="eastAsia"/>
        </w:rPr>
        <w:t>1.司法鉴定意见书(送核稿)文本格式等是否符合要求： 口是  □否</w:t>
      </w:r>
    </w:p>
    <w:p>
      <w:pPr>
        <w:pStyle w:val="40"/>
        <w:ind w:firstLine="420"/>
        <w:rPr>
          <w:rFonts w:hint="eastAsia"/>
          <w:u w:val="single"/>
        </w:rPr>
      </w:pPr>
      <w:r>
        <w:rPr>
          <w:rFonts w:hint="eastAsia"/>
        </w:rPr>
        <w:t>存在问题：</w:t>
      </w:r>
    </w:p>
    <w:p>
      <w:pPr>
        <w:pStyle w:val="40"/>
        <w:ind w:firstLine="420"/>
        <w:rPr>
          <w:rFonts w:hint="eastAsia"/>
        </w:rPr>
      </w:pPr>
      <w:r>
        <w:rPr>
          <w:rFonts w:hint="eastAsia"/>
        </w:rPr>
        <w:t>2.技术标准、技术规范和技术方法遵守和采用是否符合要求： 口是  □否</w:t>
      </w:r>
    </w:p>
    <w:p>
      <w:pPr>
        <w:pStyle w:val="40"/>
        <w:ind w:firstLine="420"/>
        <w:rPr>
          <w:rFonts w:hint="eastAsia"/>
          <w:u w:val="single"/>
        </w:rPr>
      </w:pPr>
      <w:r>
        <w:rPr>
          <w:rFonts w:hint="eastAsia"/>
        </w:rPr>
        <w:t>存在问题：</w:t>
      </w:r>
    </w:p>
    <w:p>
      <w:pPr>
        <w:pStyle w:val="40"/>
        <w:ind w:firstLine="420"/>
        <w:rPr>
          <w:rFonts w:hint="eastAsia"/>
        </w:rPr>
      </w:pPr>
      <w:r>
        <w:rPr>
          <w:rFonts w:hint="eastAsia"/>
        </w:rPr>
        <w:t>3.鉴定过程表述及内容是否符合要求： 口是  □否</w:t>
      </w:r>
    </w:p>
    <w:p>
      <w:pPr>
        <w:pStyle w:val="40"/>
        <w:ind w:firstLine="420"/>
        <w:rPr>
          <w:rFonts w:hint="eastAsia"/>
          <w:u w:val="single"/>
        </w:rPr>
      </w:pPr>
      <w:r>
        <w:rPr>
          <w:rFonts w:hint="eastAsia"/>
        </w:rPr>
        <w:t>存在问题：</w:t>
      </w:r>
    </w:p>
    <w:p>
      <w:pPr>
        <w:pStyle w:val="40"/>
        <w:ind w:firstLine="420"/>
        <w:rPr>
          <w:rFonts w:hint="eastAsia"/>
        </w:rPr>
      </w:pPr>
      <w:r>
        <w:rPr>
          <w:rFonts w:hint="eastAsia"/>
        </w:rPr>
        <w:t>4.分析说明表述及内容是否符合要求： 口是  □否</w:t>
      </w:r>
    </w:p>
    <w:p>
      <w:pPr>
        <w:pStyle w:val="40"/>
        <w:ind w:firstLine="420"/>
        <w:rPr>
          <w:rFonts w:hint="eastAsia"/>
          <w:u w:val="single"/>
        </w:rPr>
      </w:pPr>
      <w:r>
        <w:rPr>
          <w:rFonts w:hint="eastAsia"/>
        </w:rPr>
        <w:t>存在问题：</w:t>
      </w:r>
    </w:p>
    <w:p>
      <w:pPr>
        <w:pStyle w:val="40"/>
        <w:ind w:firstLine="420"/>
        <w:rPr>
          <w:rFonts w:hint="eastAsia"/>
        </w:rPr>
      </w:pPr>
      <w:r>
        <w:rPr>
          <w:rFonts w:hint="eastAsia"/>
        </w:rPr>
        <w:t>5.鉴定意见表述及内容是否符合要求： 口是  □否</w:t>
      </w:r>
    </w:p>
    <w:p>
      <w:pPr>
        <w:pStyle w:val="40"/>
        <w:ind w:firstLine="420"/>
        <w:rPr>
          <w:rFonts w:hint="eastAsia"/>
          <w:u w:val="single"/>
        </w:rPr>
      </w:pPr>
      <w:r>
        <w:rPr>
          <w:rFonts w:hint="eastAsia"/>
        </w:rPr>
        <w:t>存在问题：</w:t>
      </w:r>
    </w:p>
    <w:p>
      <w:pPr>
        <w:pStyle w:val="40"/>
        <w:ind w:firstLine="420"/>
        <w:rPr>
          <w:rFonts w:hint="eastAsia"/>
        </w:rPr>
      </w:pPr>
      <w:r>
        <w:rPr>
          <w:rFonts w:hint="eastAsia"/>
        </w:rPr>
        <w:t>6.其他：</w:t>
      </w:r>
    </w:p>
    <w:p>
      <w:pPr>
        <w:pStyle w:val="40"/>
        <w:ind w:firstLine="420"/>
        <w:rPr>
          <w:rFonts w:hint="eastAsia"/>
        </w:rPr>
      </w:pPr>
      <w:r>
        <w:rPr>
          <w:rFonts w:hint="eastAsia"/>
        </w:rPr>
        <w:t xml:space="preserve">复核人签名：                 </w:t>
      </w:r>
    </w:p>
    <w:p>
      <w:pPr>
        <w:pStyle w:val="40"/>
        <w:ind w:firstLine="420"/>
        <w:rPr>
          <w:rFonts w:hint="eastAsia"/>
        </w:rPr>
      </w:pPr>
      <w:r>
        <w:rPr>
          <w:rFonts w:hint="eastAsia"/>
        </w:rPr>
        <w:t>日期：</w:t>
      </w:r>
    </w:p>
    <w:p>
      <w:pPr>
        <w:pStyle w:val="40"/>
        <w:ind w:firstLine="420"/>
      </w:pPr>
    </w:p>
    <w:p>
      <w:pPr>
        <w:pStyle w:val="40"/>
        <w:ind w:firstLine="420"/>
      </w:pPr>
    </w:p>
    <w:p>
      <w:pPr>
        <w:pStyle w:val="40"/>
        <w:ind w:firstLine="420"/>
      </w:pPr>
    </w:p>
    <w:bookmarkEnd w:id="369"/>
    <w:p>
      <w:pPr>
        <w:pStyle w:val="40"/>
        <w:ind w:firstLine="420"/>
      </w:pPr>
    </w:p>
    <w:sectPr>
      <w:pgSz w:w="11906" w:h="16838"/>
      <w:pgMar w:top="2410" w:right="1134" w:bottom="1134" w:left="1134" w:header="1418" w:footer="1134" w:gutter="284"/>
      <w:cols w:space="720"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Calibri">
    <w:panose1 w:val="020F0502020204030204"/>
    <w:charset w:val="00"/>
    <w:family w:val="auto"/>
    <w:pitch w:val="default"/>
    <w:sig w:usb0="E4002EFF" w:usb1="C200247B" w:usb2="00000009" w:usb3="00000000" w:csb0="200001FF" w:csb1="00000000"/>
  </w:font>
  <w:font w:name="Symbol">
    <w:panose1 w:val="05050102010706020507"/>
    <w:charset w:val="02"/>
    <w:family w:val="auto"/>
    <w:pitch w:val="default"/>
    <w:sig w:usb0="00000000" w:usb1="00000000" w:usb2="00000000" w:usb3="00000000" w:csb0="80000000"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7"/>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7"/>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36"/>
    </w:pPr>
    <w:r>
      <w:fldChar w:fldCharType="begin"/>
    </w:r>
    <w:r>
      <w:instrText xml:space="preserve">PAGE   \* MERGEFORMAT</w:instrText>
    </w:r>
    <w:r>
      <w:fldChar w:fldCharType="separate"/>
    </w:r>
    <w:r>
      <w:rPr>
        <w:lang w:val="zh-CN"/>
      </w:rPr>
      <w:t>23</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8"/>
      <w:wordWrap w:val="0"/>
      <w:jc w:val="right"/>
      <w:rPr>
        <w:rFonts w:ascii="黑体" w:hAnsi="黑体" w:eastAsia="黑体"/>
      </w:rPr>
    </w:pPr>
    <w:r>
      <w:rPr>
        <w:rFonts w:ascii="Calibri" w:hAnsi="Calibri" w:eastAsia="宋体" w:cs="Times New Roman"/>
        <w:kern w:val="2"/>
        <w:sz w:val="18"/>
        <w:szCs w:val="18"/>
        <w:lang w:val="en-US" w:eastAsia="zh-CN" w:bidi="ar-SA"/>
      </w:rPr>
      <w:pict>
        <v:shape id="PowerPlusWaterMarkObject8354214" o:spid="_x0000_s1025" type="#_x0000_t136" style="position:absolute;left:0;height:109.9pt;width:549.5pt;mso-position-horizontal:center;mso-position-horizontal-relative:margin;mso-position-vertical:center;mso-position-vertical-relative:margin;rotation:20643840f;z-index:-251656192;" o:ole="f" fillcolor="#C0C0C0" filled="t" o:preferrelative="t" stroked="f" coordorigin="0,0" coordsize="21600,21600" o:allowincell="f" adj="10800">
          <v:imagedata gain="65536f" blacklevel="0f" gamma="0"/>
          <o:lock v:ext="edit" position="f" selection="f" grouping="f" rotation="f" cropping="f" text="f" aspectratio="f"/>
          <v:textpath on="t" fitpath="t" trim="f" xscale="f" string="征求意见稿" style="v-text-align:center;font-family:宋体;font-size:8pt;"/>
        </v:shape>
      </w:pict>
    </w: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8"/>
    </w:pPr>
    <w:r>
      <w:rPr>
        <w:rFonts w:ascii="Calibri" w:hAnsi="Calibri" w:eastAsia="宋体" w:cs="Times New Roman"/>
        <w:kern w:val="2"/>
        <w:sz w:val="18"/>
        <w:szCs w:val="18"/>
        <w:lang w:val="en-US" w:eastAsia="zh-CN" w:bidi="ar-SA"/>
      </w:rPr>
      <w:pict>
        <v:shape id="PowerPlusWaterMarkObject8354213" o:spid="_x0000_s1026" type="#_x0000_t136" style="position:absolute;left:0;height:109.9pt;width:549.5pt;mso-position-horizontal:center;mso-position-horizontal-relative:margin;mso-position-vertical:center;mso-position-vertical-relative:margin;rotation:20643840f;z-index:-251657216;" o:ole="f" fillcolor="#C0C0C0" filled="t" o:preferrelative="t" stroked="f" coordorigin="0,0" coordsize="21600,21600" o:allowincell="f" adj="10800">
          <v:imagedata gain="65536f" blacklevel="0f" gamma="0"/>
          <o:lock v:ext="edit" position="f" selection="f" grouping="f" rotation="f" cropping="f" text="f" aspectratio="f"/>
          <v:textpath on="t" fitpath="t" trim="f" xscale="f" string="征求意见稿" style="v-text-align:center;font-family:宋体;font-size:8pt;"/>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8"/>
      <w:jc w:val="both"/>
      <w:rPr>
        <w:sz w:val="2"/>
        <w:szCs w:val="2"/>
      </w:rPr>
    </w:pPr>
    <w:r>
      <w:rPr>
        <w:rFonts w:ascii="Calibri" w:hAnsi="Calibri" w:eastAsia="宋体" w:cs="Times New Roman"/>
        <w:kern w:val="2"/>
        <w:sz w:val="18"/>
        <w:szCs w:val="18"/>
        <w:lang w:val="en-US" w:eastAsia="zh-CN" w:bidi="ar-SA"/>
      </w:rPr>
      <w:pict>
        <v:shape id="PowerPlusWaterMarkObject8354212" o:spid="_x0000_s1027" type="#_x0000_t136" style="position:absolute;left:0;height:109.9pt;width:549.5pt;mso-position-horizontal:center;mso-position-horizontal-relative:margin;mso-position-vertical:center;mso-position-vertical-relative:margin;rotation:20643840f;z-index:-251658240;" o:ole="f" fillcolor="#C0C0C0" filled="t" o:preferrelative="t" stroked="f" coordorigin="0,0" coordsize="21600,21600" o:allowincell="f" adj="10800">
          <v:imagedata gain="65536f" blacklevel="0f" gamma="0"/>
          <o:lock v:ext="edit" position="f" selection="f" grouping="f" rotation="f" cropping="f" text="f" aspectratio="f"/>
          <v:textpath on="t" fitpath="t" trim="f" xscale="f" string="征求意见稿" style="v-text-align:center;font-family:宋体;font-size:8pt;"/>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45"/>
    </w:pPr>
    <w:r>
      <w:rPr>
        <w:rFonts w:ascii="黑体" w:hAnsi="宋体" w:eastAsia="黑体" w:cs="Times New Roman"/>
        <w:sz w:val="21"/>
        <w:lang w:val="en-US" w:eastAsia="zh-CN" w:bidi="ar-SA"/>
      </w:rPr>
      <w:pict>
        <v:shape id="PowerPlusWaterMarkObject8354217" o:spid="_x0000_s1028" type="#_x0000_t136" style="position:absolute;left:0;height:109.9pt;width:549.5pt;mso-position-horizontal:center;mso-position-horizontal-relative:margin;mso-position-vertical:center;mso-position-vertical-relative:margin;rotation:20643840f;z-index:-251653120;" o:ole="f" fillcolor="#C0C0C0" filled="t" o:preferrelative="t" stroked="f" coordorigin="0,0" coordsize="21600,21600" o:allowincell="f" adj="10800">
          <v:imagedata gain="65536f" blacklevel="0f" gamma="0"/>
          <o:lock v:ext="edit" position="f" selection="f" grouping="f" rotation="f" cropping="f" text="f" aspectratio="f"/>
          <v:textpath on="t" fitpath="t" trim="f" xscale="f" string="征求意见稿" style="v-text-align:center;font-family:宋体;font-size:8pt;"/>
        </v:shape>
      </w:pict>
    </w:r>
    <w:r>
      <w:fldChar w:fldCharType="begin"/>
    </w:r>
    <w:r>
      <w:instrText xml:space="preserve"> STYLEREF  标准文件_文件编号  \* MERGEFORMAT </w:instrText>
    </w:r>
    <w:r>
      <w:fldChar w:fldCharType="separate"/>
    </w:r>
    <w:r>
      <w:t>DB 32/T XXXX—202X</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8"/>
      <w:jc w:val="right"/>
    </w:pPr>
    <w:r>
      <w:rPr>
        <w:rFonts w:ascii="Calibri" w:hAnsi="Calibri" w:eastAsia="宋体" w:cs="Times New Roman"/>
        <w:kern w:val="2"/>
        <w:sz w:val="18"/>
        <w:szCs w:val="18"/>
        <w:lang w:val="en-US" w:eastAsia="zh-CN" w:bidi="ar-SA"/>
      </w:rPr>
      <w:pict>
        <v:shape id="PowerPlusWaterMarkObject8354216" o:spid="_x0000_s1029" type="#_x0000_t136" style="position:absolute;left:0;height:109.9pt;width:549.5pt;mso-position-horizontal:center;mso-position-horizontal-relative:margin;mso-position-vertical:center;mso-position-vertical-relative:margin;rotation:20643840f;z-index:-251654144;" o:ole="f" fillcolor="#C0C0C0" filled="t" o:preferrelative="t" stroked="f" coordorigin="0,0" coordsize="21600,21600" o:allowincell="f" adj="10800">
          <v:imagedata gain="65536f" blacklevel="0f" gamma="0"/>
          <o:lock v:ext="edit" position="f" selection="f" grouping="f" rotation="f" cropping="f" text="f" aspectratio="f"/>
          <v:textpath on="t" fitpath="t" trim="f" xscale="f" string="征求意见稿" style="v-text-align:center;font-family:宋体;font-size:8pt;"/>
        </v:shape>
      </w:pict>
    </w:r>
    <w:r>
      <w:fldChar w:fldCharType="begin"/>
    </w:r>
    <w:r>
      <w:instrText xml:space="preserve"> STYLEREF  标准文件_文件编号  \* MERGEFORMAT </w:instrText>
    </w:r>
    <w:r>
      <w:fldChar w:fldCharType="separate"/>
    </w:r>
    <w:r>
      <w:t>DB 32/T XXXX—202X</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8"/>
    </w:pPr>
    <w:r>
      <w:rPr>
        <w:rFonts w:ascii="Calibri" w:hAnsi="Calibri" w:eastAsia="宋体" w:cs="Times New Roman"/>
        <w:kern w:val="2"/>
        <w:sz w:val="18"/>
        <w:szCs w:val="18"/>
        <w:lang w:val="en-US" w:eastAsia="zh-CN" w:bidi="ar-SA"/>
      </w:rPr>
      <w:pict>
        <v:shape id="PowerPlusWaterMarkObject8354215" o:spid="_x0000_s1030" type="#_x0000_t136" style="position:absolute;left:0;height:109.9pt;width:549.5pt;mso-position-horizontal:center;mso-position-horizontal-relative:margin;mso-position-vertical:center;mso-position-vertical-relative:margin;rotation:20643840f;z-index:-251655168;" o:ole="f" fillcolor="#C0C0C0" filled="t" o:preferrelative="t" stroked="f" coordorigin="0,0" coordsize="21600,21600" o:allowincell="f" adj="10800">
          <v:imagedata gain="65536f" blacklevel="0f" gamma="0"/>
          <o:lock v:ext="edit" position="f" selection="f" grouping="f" rotation="f" cropping="f" text="f" aspectratio="f"/>
          <v:textpath on="t" fitpath="t" trim="f" xscale="f" string="征求意见稿" style="v-text-align:center;font-family:宋体;font-size:8pt;"/>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452022290">
    <w:nsid w:val="1AF15012"/>
    <w:multiLevelType w:val="multilevel"/>
    <w:tmpl w:val="1AF15012"/>
    <w:lvl w:ilvl="0" w:tentative="1">
      <w:start w:val="1"/>
      <w:numFmt w:val="upperLetter"/>
      <w:pStyle w:val="68"/>
      <w:suff w:val="nothing"/>
      <w:lvlText w:val="附 录(Annex) %1"/>
      <w:lvlJc w:val="left"/>
      <w:pPr>
        <w:ind w:left="0" w:firstLine="0"/>
      </w:pPr>
    </w:lvl>
    <w:lvl w:ilvl="1" w:tentative="1">
      <w:start w:val="1"/>
      <w:numFmt w:val="decimal"/>
      <w:suff w:val="nothing"/>
      <w:lvlText w:val="%1.%2　"/>
      <w:lvlJc w:val="left"/>
      <w:pPr>
        <w:ind w:left="0" w:firstLine="0"/>
      </w:pPr>
    </w:lvl>
    <w:lvl w:ilvl="2" w:tentative="1">
      <w:start w:val="1"/>
      <w:numFmt w:val="decimal"/>
      <w:suff w:val="nothing"/>
      <w:lvlText w:val="%1.%2.%3　"/>
      <w:lvlJc w:val="left"/>
      <w:pPr>
        <w:ind w:left="0" w:firstLine="0"/>
      </w:pPr>
    </w:lvl>
    <w:lvl w:ilvl="3" w:tentative="1">
      <w:start w:val="1"/>
      <w:numFmt w:val="decimal"/>
      <w:suff w:val="nothing"/>
      <w:lvlText w:val="%1.%2.%3.%4　"/>
      <w:lvlJc w:val="left"/>
      <w:pPr>
        <w:ind w:left="0" w:firstLine="0"/>
      </w:pPr>
    </w:lvl>
    <w:lvl w:ilvl="4" w:tentative="1">
      <w:start w:val="1"/>
      <w:numFmt w:val="decimal"/>
      <w:suff w:val="nothing"/>
      <w:lvlText w:val="%1.%2.%3.%4.%5　"/>
      <w:lvlJc w:val="left"/>
      <w:pPr>
        <w:ind w:left="0" w:firstLine="0"/>
      </w:pPr>
    </w:lvl>
    <w:lvl w:ilvl="5" w:tentative="1">
      <w:start w:val="1"/>
      <w:numFmt w:val="decimal"/>
      <w:suff w:val="nothing"/>
      <w:lvlText w:val="%1.%2.%3.%4.%5.%6　"/>
      <w:lvlJc w:val="left"/>
      <w:pPr>
        <w:ind w:left="0" w:firstLine="0"/>
      </w:pPr>
    </w:lvl>
    <w:lvl w:ilvl="6" w:tentative="1">
      <w:start w:val="1"/>
      <w:numFmt w:val="decimal"/>
      <w:suff w:val="nothing"/>
      <w:lvlText w:val="%1.%2.%3.%4.%5.%6.%7　"/>
      <w:lvlJc w:val="left"/>
      <w:pPr>
        <w:ind w:left="0" w:firstLine="0"/>
      </w:pPr>
    </w:lvl>
    <w:lvl w:ilvl="7" w:tentative="1">
      <w:start w:val="1"/>
      <w:numFmt w:val="decimal"/>
      <w:lvlText w:val="%1.%2.%3.%4.%5.%6.%7.%8"/>
      <w:lvlJc w:val="left"/>
      <w:pPr>
        <w:tabs>
          <w:tab w:val="left" w:pos="4394"/>
        </w:tabs>
        <w:ind w:left="4394" w:hanging="1418"/>
      </w:pPr>
    </w:lvl>
    <w:lvl w:ilvl="8" w:tentative="1">
      <w:start w:val="1"/>
      <w:numFmt w:val="decimal"/>
      <w:lvlText w:val="%1.%2.%3.%4.%5.%6.%7.%8.%9"/>
      <w:lvlJc w:val="left"/>
      <w:pPr>
        <w:tabs>
          <w:tab w:val="left" w:pos="5102"/>
        </w:tabs>
        <w:ind w:left="5102" w:hanging="1700"/>
      </w:pPr>
    </w:lvl>
  </w:abstractNum>
  <w:abstractNum w:abstractNumId="1216359708">
    <w:nsid w:val="48802D1C"/>
    <w:multiLevelType w:val="multilevel"/>
    <w:tmpl w:val="48802D1C"/>
    <w:lvl w:ilvl="0" w:tentative="1">
      <w:start w:val="1"/>
      <w:numFmt w:val="upperLetter"/>
      <w:pStyle w:val="172"/>
      <w:lvlText w:val="%1"/>
      <w:lvlJc w:val="left"/>
      <w:pPr>
        <w:ind w:left="420" w:hanging="420"/>
      </w:pPr>
      <w:rPr>
        <w:rFonts w:hint="eastAsia"/>
      </w:rPr>
    </w:lvl>
    <w:lvl w:ilvl="1" w:tentative="1">
      <w:start w:val="1"/>
      <w:numFmt w:val="decimal"/>
      <w:pStyle w:val="66"/>
      <w:suff w:val="space"/>
      <w:lvlText w:val="图%1.%2"/>
      <w:lvlJc w:val="center"/>
      <w:pPr>
        <w:ind w:left="0" w:firstLine="0"/>
      </w:pPr>
      <w:rPr>
        <w:rFonts w:hint="eastAsia"/>
      </w:rPr>
    </w:lvl>
    <w:lvl w:ilvl="2" w:tentative="1">
      <w:start w:val="1"/>
      <w:numFmt w:val="lowerRoman"/>
      <w:lvlText w:val="%3."/>
      <w:lvlJc w:val="right"/>
      <w:pPr>
        <w:ind w:left="1260" w:hanging="420"/>
      </w:pPr>
      <w:rPr>
        <w:rFonts w:hint="eastAsia"/>
      </w:rPr>
    </w:lvl>
    <w:lvl w:ilvl="3" w:tentative="1">
      <w:start w:val="1"/>
      <w:numFmt w:val="decimal"/>
      <w:lvlText w:val="%4."/>
      <w:lvlJc w:val="left"/>
      <w:pPr>
        <w:ind w:left="1680" w:hanging="420"/>
      </w:pPr>
      <w:rPr>
        <w:rFonts w:hint="eastAsia"/>
      </w:rPr>
    </w:lvl>
    <w:lvl w:ilvl="4" w:tentative="1">
      <w:start w:val="1"/>
      <w:numFmt w:val="lowerLetter"/>
      <w:lvlText w:val="%5)"/>
      <w:lvlJc w:val="left"/>
      <w:pPr>
        <w:ind w:left="2100" w:hanging="420"/>
      </w:pPr>
      <w:rPr>
        <w:rFonts w:hint="eastAsia"/>
      </w:rPr>
    </w:lvl>
    <w:lvl w:ilvl="5" w:tentative="1">
      <w:start w:val="1"/>
      <w:numFmt w:val="lowerRoman"/>
      <w:lvlText w:val="%6."/>
      <w:lvlJc w:val="right"/>
      <w:pPr>
        <w:ind w:left="2520" w:hanging="420"/>
      </w:pPr>
      <w:rPr>
        <w:rFonts w:hint="eastAsia"/>
      </w:rPr>
    </w:lvl>
    <w:lvl w:ilvl="6" w:tentative="1">
      <w:start w:val="1"/>
      <w:numFmt w:val="decimal"/>
      <w:lvlText w:val="%7."/>
      <w:lvlJc w:val="left"/>
      <w:pPr>
        <w:ind w:left="2940" w:hanging="420"/>
      </w:pPr>
      <w:rPr>
        <w:rFonts w:hint="eastAsia"/>
      </w:rPr>
    </w:lvl>
    <w:lvl w:ilvl="7" w:tentative="1">
      <w:start w:val="1"/>
      <w:numFmt w:val="lowerLetter"/>
      <w:lvlText w:val="%8)"/>
      <w:lvlJc w:val="left"/>
      <w:pPr>
        <w:ind w:left="3360" w:hanging="420"/>
      </w:pPr>
      <w:rPr>
        <w:rFonts w:hint="eastAsia"/>
      </w:rPr>
    </w:lvl>
    <w:lvl w:ilvl="8" w:tentative="1">
      <w:start w:val="1"/>
      <w:numFmt w:val="lowerRoman"/>
      <w:lvlText w:val="%9."/>
      <w:lvlJc w:val="right"/>
      <w:pPr>
        <w:ind w:left="3780" w:hanging="420"/>
      </w:pPr>
      <w:rPr>
        <w:rFonts w:hint="eastAsia"/>
      </w:rPr>
    </w:lvl>
  </w:abstractNum>
  <w:abstractNum w:abstractNumId="514464146">
    <w:nsid w:val="1EAA1992"/>
    <w:multiLevelType w:val="multilevel"/>
    <w:tmpl w:val="1EAA1992"/>
    <w:lvl w:ilvl="0" w:tentative="1">
      <w:start w:val="1"/>
      <w:numFmt w:val="none"/>
      <w:pStyle w:val="74"/>
      <w:suff w:val="nothing"/>
      <w:lvlText w:val="——"/>
      <w:lvlJc w:val="left"/>
      <w:pPr>
        <w:ind w:left="794" w:hanging="397"/>
      </w:pPr>
    </w:lvl>
    <w:lvl w:ilvl="1" w:tentative="1">
      <w:start w:val="1"/>
      <w:numFmt w:val="decimal"/>
      <w:suff w:val="nothing"/>
      <w:lvlText w:val="%1.%2　"/>
      <w:lvlJc w:val="left"/>
      <w:pPr>
        <w:ind w:left="397" w:firstLine="0"/>
      </w:pPr>
    </w:lvl>
    <w:lvl w:ilvl="2" w:tentative="1">
      <w:start w:val="1"/>
      <w:numFmt w:val="decimal"/>
      <w:suff w:val="nothing"/>
      <w:lvlText w:val="%1.%2.%3　"/>
      <w:lvlJc w:val="left"/>
      <w:pPr>
        <w:ind w:left="397" w:firstLine="0"/>
      </w:pPr>
    </w:lvl>
    <w:lvl w:ilvl="3" w:tentative="1">
      <w:start w:val="1"/>
      <w:numFmt w:val="decimal"/>
      <w:suff w:val="nothing"/>
      <w:lvlText w:val="%1.%2.%3.%4　"/>
      <w:lvlJc w:val="left"/>
      <w:pPr>
        <w:ind w:left="397" w:firstLine="0"/>
      </w:pPr>
    </w:lvl>
    <w:lvl w:ilvl="4" w:tentative="1">
      <w:start w:val="1"/>
      <w:numFmt w:val="decimal"/>
      <w:suff w:val="nothing"/>
      <w:lvlText w:val="%1.%2.%3.%4.%5　"/>
      <w:lvlJc w:val="left"/>
      <w:pPr>
        <w:ind w:left="397" w:firstLine="0"/>
      </w:pPr>
    </w:lvl>
    <w:lvl w:ilvl="5" w:tentative="1">
      <w:start w:val="1"/>
      <w:numFmt w:val="decimal"/>
      <w:suff w:val="nothing"/>
      <w:lvlText w:val="%1.%2.%3.%4.%5.%6　"/>
      <w:lvlJc w:val="left"/>
      <w:pPr>
        <w:ind w:left="397" w:firstLine="0"/>
      </w:pPr>
    </w:lvl>
    <w:lvl w:ilvl="6" w:tentative="1">
      <w:start w:val="1"/>
      <w:numFmt w:val="decimal"/>
      <w:suff w:val="nothing"/>
      <w:lvlText w:val="%1.%2.%3.%4.%5.%6.%7　"/>
      <w:lvlJc w:val="left"/>
      <w:pPr>
        <w:ind w:left="397" w:firstLine="0"/>
      </w:pPr>
    </w:lvl>
    <w:lvl w:ilvl="7" w:tentative="1">
      <w:start w:val="1"/>
      <w:numFmt w:val="decimal"/>
      <w:lvlText w:val="%1.%2.%3.%4.%5.%6.%7.%8"/>
      <w:lvlJc w:val="left"/>
      <w:pPr>
        <w:tabs>
          <w:tab w:val="left" w:pos="4791"/>
        </w:tabs>
        <w:ind w:left="4791" w:hanging="1418"/>
      </w:pPr>
    </w:lvl>
    <w:lvl w:ilvl="8" w:tentative="1">
      <w:start w:val="1"/>
      <w:numFmt w:val="decimal"/>
      <w:lvlText w:val="%1.%2.%3.%4.%5.%6.%7.%8.%9"/>
      <w:lvlJc w:val="left"/>
      <w:pPr>
        <w:tabs>
          <w:tab w:val="left" w:pos="5499"/>
        </w:tabs>
        <w:ind w:left="5499" w:hanging="1700"/>
      </w:pPr>
    </w:lvl>
  </w:abstractNum>
  <w:abstractNum w:abstractNumId="2776617750">
    <w:nsid w:val="A57FD316"/>
    <w:multiLevelType w:val="singleLevel"/>
    <w:tmpl w:val="A57FD316"/>
    <w:lvl w:ilvl="0" w:tentative="1">
      <w:start w:val="4"/>
      <w:numFmt w:val="decimal"/>
      <w:lvlText w:val="%1."/>
      <w:lvlJc w:val="left"/>
      <w:pPr>
        <w:tabs>
          <w:tab w:val="left" w:pos="312"/>
        </w:tabs>
        <w:ind w:left="0" w:firstLine="0"/>
      </w:pPr>
    </w:lvl>
  </w:abstractNum>
  <w:abstractNum w:abstractNumId="854609842">
    <w:nsid w:val="32F04FB2"/>
    <w:multiLevelType w:val="multilevel"/>
    <w:tmpl w:val="32F04FB2"/>
    <w:lvl w:ilvl="0" w:tentative="1">
      <w:start w:val="1"/>
      <w:numFmt w:val="lowerLetter"/>
      <w:pStyle w:val="81"/>
      <w:lvlText w:val="%1"/>
      <w:lvlJc w:val="left"/>
      <w:pPr>
        <w:tabs>
          <w:tab w:val="left" w:pos="539"/>
        </w:tabs>
        <w:ind w:left="539" w:hanging="119"/>
      </w:pPr>
      <w:rPr>
        <w:rFonts w:hint="eastAsia"/>
        <w:caps w:val="0"/>
        <w:strike w:val="0"/>
        <w:dstrike w:val="0"/>
        <w:vertAlign w:val="superscript"/>
      </w:rPr>
    </w:lvl>
    <w:lvl w:ilvl="1" w:tentative="1">
      <w:start w:val="1"/>
      <w:numFmt w:val="lowerLetter"/>
      <w:lvlText w:val="%2)"/>
      <w:lvlJc w:val="left"/>
      <w:pPr>
        <w:ind w:left="1040" w:hanging="420"/>
      </w:pPr>
      <w:rPr>
        <w:rFonts w:hint="eastAsia"/>
      </w:rPr>
    </w:lvl>
    <w:lvl w:ilvl="2" w:tentative="1">
      <w:start w:val="1"/>
      <w:numFmt w:val="lowerRoman"/>
      <w:lvlText w:val="%3."/>
      <w:lvlJc w:val="right"/>
      <w:pPr>
        <w:ind w:left="1460" w:hanging="420"/>
      </w:pPr>
      <w:rPr>
        <w:rFonts w:hint="eastAsia"/>
      </w:rPr>
    </w:lvl>
    <w:lvl w:ilvl="3" w:tentative="1">
      <w:start w:val="1"/>
      <w:numFmt w:val="decimal"/>
      <w:lvlText w:val="%4."/>
      <w:lvlJc w:val="left"/>
      <w:pPr>
        <w:ind w:left="1880" w:hanging="420"/>
      </w:pPr>
      <w:rPr>
        <w:rFonts w:hint="eastAsia"/>
      </w:rPr>
    </w:lvl>
    <w:lvl w:ilvl="4" w:tentative="1">
      <w:start w:val="1"/>
      <w:numFmt w:val="lowerLetter"/>
      <w:lvlText w:val="%5)"/>
      <w:lvlJc w:val="left"/>
      <w:pPr>
        <w:ind w:left="2300" w:hanging="420"/>
      </w:pPr>
      <w:rPr>
        <w:rFonts w:hint="eastAsia"/>
      </w:rPr>
    </w:lvl>
    <w:lvl w:ilvl="5" w:tentative="1">
      <w:start w:val="1"/>
      <w:numFmt w:val="lowerRoman"/>
      <w:lvlText w:val="%6."/>
      <w:lvlJc w:val="right"/>
      <w:pPr>
        <w:ind w:left="2720" w:hanging="420"/>
      </w:pPr>
      <w:rPr>
        <w:rFonts w:hint="eastAsia"/>
      </w:rPr>
    </w:lvl>
    <w:lvl w:ilvl="6" w:tentative="1">
      <w:start w:val="1"/>
      <w:numFmt w:val="decimal"/>
      <w:lvlText w:val="%7."/>
      <w:lvlJc w:val="left"/>
      <w:pPr>
        <w:ind w:left="3140" w:hanging="420"/>
      </w:pPr>
      <w:rPr>
        <w:rFonts w:hint="eastAsia"/>
      </w:rPr>
    </w:lvl>
    <w:lvl w:ilvl="7" w:tentative="1">
      <w:start w:val="1"/>
      <w:numFmt w:val="lowerLetter"/>
      <w:lvlText w:val="%8)"/>
      <w:lvlJc w:val="left"/>
      <w:pPr>
        <w:ind w:left="3560" w:hanging="420"/>
      </w:pPr>
      <w:rPr>
        <w:rFonts w:hint="eastAsia"/>
      </w:rPr>
    </w:lvl>
    <w:lvl w:ilvl="8" w:tentative="1">
      <w:start w:val="1"/>
      <w:numFmt w:val="lowerRoman"/>
      <w:lvlText w:val="%9."/>
      <w:lvlJc w:val="right"/>
      <w:pPr>
        <w:ind w:left="3980" w:hanging="420"/>
      </w:pPr>
      <w:rPr>
        <w:rFonts w:hint="eastAsia"/>
      </w:rPr>
    </w:lvl>
  </w:abstractNum>
  <w:abstractNum w:abstractNumId="1265842783">
    <w:nsid w:val="4B733A5F"/>
    <w:multiLevelType w:val="multilevel"/>
    <w:tmpl w:val="4B733A5F"/>
    <w:lvl w:ilvl="0" w:tentative="1">
      <w:start w:val="1"/>
      <w:numFmt w:val="decimal"/>
      <w:pStyle w:val="160"/>
      <w:suff w:val="nothing"/>
      <w:lvlText w:val="示例%1："/>
      <w:lvlJc w:val="left"/>
      <w:pPr>
        <w:ind w:left="0" w:firstLine="363"/>
      </w:pPr>
      <w:rPr>
        <w:rFonts w:hint="eastAsia" w:ascii="黑体" w:eastAsia="黑体"/>
        <w:b w:val="0"/>
        <w:i w:val="0"/>
        <w:sz w:val="18"/>
      </w:rPr>
    </w:lvl>
    <w:lvl w:ilvl="1" w:tentative="1">
      <w:start w:val="1"/>
      <w:numFmt w:val="none"/>
      <w:suff w:val="space"/>
      <w:lvlText w:val=""/>
      <w:lvlJc w:val="left"/>
      <w:pPr>
        <w:ind w:left="0" w:firstLine="0"/>
      </w:pPr>
      <w:rPr>
        <w:rFonts w:hint="eastAsia"/>
      </w:rPr>
    </w:lvl>
    <w:lvl w:ilvl="2" w:tentative="1">
      <w:start w:val="1"/>
      <w:numFmt w:val="decimal"/>
      <w:suff w:val="space"/>
      <w:lvlText w:val="2.2.%3"/>
      <w:lvlJc w:val="left"/>
      <w:pPr>
        <w:ind w:left="0" w:firstLine="0"/>
      </w:pPr>
      <w:rPr>
        <w:rFonts w:hint="eastAsia"/>
      </w:rPr>
    </w:lvl>
    <w:lvl w:ilvl="3" w:tentative="1">
      <w:start w:val="1"/>
      <w:numFmt w:val="decimal"/>
      <w:lvlText w:val="%4."/>
      <w:lvlJc w:val="left"/>
      <w:pPr>
        <w:tabs>
          <w:tab w:val="left" w:pos="0"/>
        </w:tabs>
        <w:ind w:left="992" w:hanging="629"/>
      </w:pPr>
      <w:rPr>
        <w:rFonts w:hint="eastAsia"/>
      </w:rPr>
    </w:lvl>
    <w:lvl w:ilvl="4" w:tentative="1">
      <w:start w:val="1"/>
      <w:numFmt w:val="lowerLetter"/>
      <w:lvlText w:val="%5)"/>
      <w:lvlJc w:val="left"/>
      <w:pPr>
        <w:tabs>
          <w:tab w:val="left" w:pos="0"/>
        </w:tabs>
        <w:ind w:left="992" w:hanging="629"/>
      </w:pPr>
      <w:rPr>
        <w:rFonts w:hint="eastAsia"/>
      </w:rPr>
    </w:lvl>
    <w:lvl w:ilvl="5" w:tentative="1">
      <w:start w:val="1"/>
      <w:numFmt w:val="lowerRoman"/>
      <w:lvlText w:val="%6."/>
      <w:lvlJc w:val="right"/>
      <w:pPr>
        <w:tabs>
          <w:tab w:val="left" w:pos="0"/>
        </w:tabs>
        <w:ind w:left="992" w:hanging="629"/>
      </w:pPr>
      <w:rPr>
        <w:rFonts w:hint="eastAsia"/>
      </w:rPr>
    </w:lvl>
    <w:lvl w:ilvl="6" w:tentative="1">
      <w:start w:val="1"/>
      <w:numFmt w:val="decimal"/>
      <w:lvlText w:val="%7."/>
      <w:lvlJc w:val="left"/>
      <w:pPr>
        <w:tabs>
          <w:tab w:val="left" w:pos="0"/>
        </w:tabs>
        <w:ind w:left="992" w:hanging="629"/>
      </w:pPr>
      <w:rPr>
        <w:rFonts w:hint="eastAsia"/>
      </w:rPr>
    </w:lvl>
    <w:lvl w:ilvl="7" w:tentative="1">
      <w:start w:val="1"/>
      <w:numFmt w:val="lowerLetter"/>
      <w:lvlText w:val="%8)"/>
      <w:lvlJc w:val="left"/>
      <w:pPr>
        <w:tabs>
          <w:tab w:val="left" w:pos="0"/>
        </w:tabs>
        <w:ind w:left="992" w:hanging="629"/>
      </w:pPr>
      <w:rPr>
        <w:rFonts w:hint="eastAsia"/>
      </w:rPr>
    </w:lvl>
    <w:lvl w:ilvl="8" w:tentative="1">
      <w:start w:val="1"/>
      <w:numFmt w:val="lowerRoman"/>
      <w:lvlText w:val="%9."/>
      <w:lvlJc w:val="right"/>
      <w:pPr>
        <w:tabs>
          <w:tab w:val="left" w:pos="0"/>
        </w:tabs>
        <w:ind w:left="992" w:hanging="629"/>
      </w:pPr>
      <w:rPr>
        <w:rFonts w:hint="eastAsia"/>
      </w:rPr>
    </w:lvl>
  </w:abstractNum>
  <w:abstractNum w:abstractNumId="1415784273">
    <w:nsid w:val="54632751"/>
    <w:multiLevelType w:val="multilevel"/>
    <w:tmpl w:val="54632751"/>
    <w:lvl w:ilvl="0" w:tentative="1">
      <w:start w:val="1"/>
      <w:numFmt w:val="none"/>
      <w:pStyle w:val="75"/>
      <w:suff w:val="nothing"/>
      <w:lvlText w:val="——"/>
      <w:lvlJc w:val="left"/>
      <w:pPr>
        <w:ind w:left="1588" w:firstLine="0"/>
      </w:pPr>
    </w:lvl>
    <w:lvl w:ilvl="1" w:tentative="1">
      <w:start w:val="1"/>
      <w:numFmt w:val="decimal"/>
      <w:suff w:val="nothing"/>
      <w:lvlText w:val="%1.%2　"/>
      <w:lvlJc w:val="left"/>
      <w:pPr>
        <w:ind w:left="1588" w:firstLine="0"/>
      </w:pPr>
    </w:lvl>
    <w:lvl w:ilvl="2" w:tentative="1">
      <w:start w:val="1"/>
      <w:numFmt w:val="decimal"/>
      <w:suff w:val="nothing"/>
      <w:lvlText w:val="%1.%2.%3　"/>
      <w:lvlJc w:val="left"/>
      <w:pPr>
        <w:ind w:left="1588" w:firstLine="0"/>
      </w:pPr>
    </w:lvl>
    <w:lvl w:ilvl="3" w:tentative="1">
      <w:start w:val="1"/>
      <w:numFmt w:val="decimal"/>
      <w:suff w:val="nothing"/>
      <w:lvlText w:val="%1.%2.%3.%4　"/>
      <w:lvlJc w:val="left"/>
      <w:pPr>
        <w:ind w:left="1588" w:firstLine="0"/>
      </w:pPr>
    </w:lvl>
    <w:lvl w:ilvl="4" w:tentative="1">
      <w:start w:val="1"/>
      <w:numFmt w:val="decimal"/>
      <w:suff w:val="nothing"/>
      <w:lvlText w:val="%1.%2.%3.%4.%5　"/>
      <w:lvlJc w:val="left"/>
      <w:pPr>
        <w:ind w:left="1588" w:firstLine="0"/>
      </w:pPr>
    </w:lvl>
    <w:lvl w:ilvl="5" w:tentative="1">
      <w:start w:val="1"/>
      <w:numFmt w:val="decimal"/>
      <w:suff w:val="nothing"/>
      <w:lvlText w:val="%1.%2.%3.%4.%5.%6　"/>
      <w:lvlJc w:val="left"/>
      <w:pPr>
        <w:ind w:left="1588" w:firstLine="0"/>
      </w:pPr>
    </w:lvl>
    <w:lvl w:ilvl="6" w:tentative="1">
      <w:start w:val="1"/>
      <w:numFmt w:val="decimal"/>
      <w:suff w:val="nothing"/>
      <w:lvlText w:val="%1.%2.%3.%4.%5.%6.%7　"/>
      <w:lvlJc w:val="left"/>
      <w:pPr>
        <w:ind w:left="1588" w:firstLine="0"/>
      </w:pPr>
    </w:lvl>
    <w:lvl w:ilvl="7" w:tentative="1">
      <w:start w:val="1"/>
      <w:numFmt w:val="decimal"/>
      <w:lvlText w:val="%1.%2.%3.%4.%5.%6.%7.%8"/>
      <w:lvlJc w:val="left"/>
      <w:pPr>
        <w:tabs>
          <w:tab w:val="left" w:pos="5982"/>
        </w:tabs>
        <w:ind w:left="5982" w:hanging="1418"/>
      </w:pPr>
    </w:lvl>
    <w:lvl w:ilvl="8" w:tentative="1">
      <w:start w:val="1"/>
      <w:numFmt w:val="decimal"/>
      <w:lvlText w:val="%1.%2.%3.%4.%5.%6.%7.%8.%9"/>
      <w:lvlJc w:val="left"/>
      <w:pPr>
        <w:tabs>
          <w:tab w:val="left" w:pos="6690"/>
        </w:tabs>
        <w:ind w:left="6690" w:hanging="1700"/>
      </w:pPr>
    </w:lvl>
  </w:abstractNum>
  <w:abstractNum w:abstractNumId="218439493">
    <w:nsid w:val="0D051F45"/>
    <w:multiLevelType w:val="multilevel"/>
    <w:tmpl w:val="0D051F45"/>
    <w:lvl w:ilvl="0" w:tentative="1">
      <w:start w:val="1"/>
      <w:numFmt w:val="lowerRoman"/>
      <w:pStyle w:val="146"/>
      <w:lvlText w:val="%1)"/>
      <w:lvlJc w:val="left"/>
      <w:pPr>
        <w:tabs>
          <w:tab w:val="left" w:pos="851"/>
        </w:tabs>
        <w:ind w:left="851" w:hanging="426"/>
      </w:pPr>
      <w:rPr>
        <w:rFonts w:hint="eastAsia" w:ascii="宋体" w:hAnsi="Times New Roman" w:eastAsia="宋体"/>
        <w:sz w:val="21"/>
      </w:rPr>
    </w:lvl>
    <w:lvl w:ilvl="1" w:tentative="1">
      <w:start w:val="1"/>
      <w:numFmt w:val="lowerLetter"/>
      <w:lvlText w:val="%2)"/>
      <w:lvlJc w:val="left"/>
      <w:pPr>
        <w:tabs>
          <w:tab w:val="left" w:pos="1543"/>
        </w:tabs>
        <w:ind w:left="1543" w:hanging="420"/>
      </w:pPr>
      <w:rPr>
        <w:rFonts w:hint="eastAsia"/>
      </w:rPr>
    </w:lvl>
    <w:lvl w:ilvl="2" w:tentative="1">
      <w:start w:val="1"/>
      <w:numFmt w:val="lowerRoman"/>
      <w:lvlText w:val="%3."/>
      <w:lvlJc w:val="right"/>
      <w:pPr>
        <w:tabs>
          <w:tab w:val="left" w:pos="1963"/>
        </w:tabs>
        <w:ind w:left="1963" w:hanging="420"/>
      </w:pPr>
      <w:rPr>
        <w:rFonts w:hint="eastAsia"/>
      </w:rPr>
    </w:lvl>
    <w:lvl w:ilvl="3" w:tentative="1">
      <w:start w:val="1"/>
      <w:numFmt w:val="decimal"/>
      <w:lvlText w:val="%4."/>
      <w:lvlJc w:val="left"/>
      <w:pPr>
        <w:tabs>
          <w:tab w:val="left" w:pos="2383"/>
        </w:tabs>
        <w:ind w:left="2383" w:hanging="420"/>
      </w:pPr>
      <w:rPr>
        <w:rFonts w:hint="eastAsia"/>
      </w:rPr>
    </w:lvl>
    <w:lvl w:ilvl="4" w:tentative="1">
      <w:start w:val="1"/>
      <w:numFmt w:val="lowerLetter"/>
      <w:lvlText w:val="%5)"/>
      <w:lvlJc w:val="left"/>
      <w:pPr>
        <w:tabs>
          <w:tab w:val="left" w:pos="2803"/>
        </w:tabs>
        <w:ind w:left="2803" w:hanging="420"/>
      </w:pPr>
      <w:rPr>
        <w:rFonts w:hint="eastAsia"/>
      </w:rPr>
    </w:lvl>
    <w:lvl w:ilvl="5" w:tentative="1">
      <w:start w:val="1"/>
      <w:numFmt w:val="lowerRoman"/>
      <w:lvlText w:val="%6."/>
      <w:lvlJc w:val="right"/>
      <w:pPr>
        <w:tabs>
          <w:tab w:val="left" w:pos="3223"/>
        </w:tabs>
        <w:ind w:left="3223" w:hanging="420"/>
      </w:pPr>
      <w:rPr>
        <w:rFonts w:hint="eastAsia"/>
      </w:rPr>
    </w:lvl>
    <w:lvl w:ilvl="6" w:tentative="1">
      <w:start w:val="1"/>
      <w:numFmt w:val="decimal"/>
      <w:lvlText w:val="%7."/>
      <w:lvlJc w:val="left"/>
      <w:pPr>
        <w:tabs>
          <w:tab w:val="left" w:pos="3643"/>
        </w:tabs>
        <w:ind w:left="3643" w:hanging="420"/>
      </w:pPr>
      <w:rPr>
        <w:rFonts w:hint="eastAsia"/>
      </w:rPr>
    </w:lvl>
    <w:lvl w:ilvl="7" w:tentative="1">
      <w:start w:val="1"/>
      <w:numFmt w:val="lowerLetter"/>
      <w:lvlText w:val="%8)"/>
      <w:lvlJc w:val="left"/>
      <w:pPr>
        <w:tabs>
          <w:tab w:val="left" w:pos="4063"/>
        </w:tabs>
        <w:ind w:left="4063" w:hanging="420"/>
      </w:pPr>
      <w:rPr>
        <w:rFonts w:hint="eastAsia"/>
      </w:rPr>
    </w:lvl>
    <w:lvl w:ilvl="8" w:tentative="1">
      <w:start w:val="1"/>
      <w:numFmt w:val="lowerRoman"/>
      <w:lvlText w:val="%9."/>
      <w:lvlJc w:val="right"/>
      <w:pPr>
        <w:tabs>
          <w:tab w:val="left" w:pos="4483"/>
        </w:tabs>
        <w:ind w:left="4483" w:hanging="420"/>
      </w:pPr>
      <w:rPr>
        <w:rFonts w:hint="eastAsia"/>
      </w:rPr>
    </w:lvl>
  </w:abstractNum>
  <w:abstractNum w:abstractNumId="182675433">
    <w:nsid w:val="0AE367E9"/>
    <w:multiLevelType w:val="multilevel"/>
    <w:tmpl w:val="0AE367E9"/>
    <w:lvl w:ilvl="0" w:tentative="1">
      <w:start w:val="1"/>
      <w:numFmt w:val="none"/>
      <w:pStyle w:val="158"/>
      <w:suff w:val="nothing"/>
      <w:lvlText w:val="%1示例："/>
      <w:lvlJc w:val="left"/>
      <w:pPr>
        <w:ind w:left="0" w:firstLine="363"/>
      </w:pPr>
      <w:rPr>
        <w:rFonts w:hint="eastAsia" w:ascii="黑体" w:eastAsia="黑体"/>
        <w:b w:val="0"/>
        <w:i w:val="0"/>
        <w:sz w:val="18"/>
      </w:rPr>
    </w:lvl>
    <w:lvl w:ilvl="1" w:tentative="1">
      <w:start w:val="1"/>
      <w:numFmt w:val="lowerLetter"/>
      <w:lvlText w:val="%2)"/>
      <w:lvlJc w:val="left"/>
      <w:pPr>
        <w:tabs>
          <w:tab w:val="left" w:pos="363"/>
        </w:tabs>
        <w:ind w:left="0" w:firstLine="363"/>
      </w:pPr>
      <w:rPr>
        <w:rFonts w:hint="eastAsia"/>
      </w:rPr>
    </w:lvl>
    <w:lvl w:ilvl="2" w:tentative="1">
      <w:start w:val="1"/>
      <w:numFmt w:val="lowerRoman"/>
      <w:lvlText w:val="%3."/>
      <w:lvlJc w:val="right"/>
      <w:pPr>
        <w:tabs>
          <w:tab w:val="left" w:pos="363"/>
        </w:tabs>
        <w:ind w:left="0" w:firstLine="363"/>
      </w:pPr>
      <w:rPr>
        <w:rFonts w:hint="eastAsia"/>
      </w:rPr>
    </w:lvl>
    <w:lvl w:ilvl="3" w:tentative="1">
      <w:start w:val="1"/>
      <w:numFmt w:val="decimal"/>
      <w:lvlText w:val="%4."/>
      <w:lvlJc w:val="left"/>
      <w:pPr>
        <w:tabs>
          <w:tab w:val="left" w:pos="363"/>
        </w:tabs>
        <w:ind w:left="0" w:firstLine="363"/>
      </w:pPr>
      <w:rPr>
        <w:rFonts w:hint="eastAsia"/>
      </w:rPr>
    </w:lvl>
    <w:lvl w:ilvl="4" w:tentative="1">
      <w:start w:val="1"/>
      <w:numFmt w:val="lowerLetter"/>
      <w:lvlText w:val="%5)"/>
      <w:lvlJc w:val="left"/>
      <w:pPr>
        <w:tabs>
          <w:tab w:val="left" w:pos="363"/>
        </w:tabs>
        <w:ind w:left="0" w:firstLine="363"/>
      </w:pPr>
      <w:rPr>
        <w:rFonts w:hint="eastAsia"/>
      </w:rPr>
    </w:lvl>
    <w:lvl w:ilvl="5" w:tentative="1">
      <w:start w:val="1"/>
      <w:numFmt w:val="lowerRoman"/>
      <w:lvlText w:val="%6."/>
      <w:lvlJc w:val="right"/>
      <w:pPr>
        <w:tabs>
          <w:tab w:val="left" w:pos="363"/>
        </w:tabs>
        <w:ind w:left="0" w:firstLine="363"/>
      </w:pPr>
      <w:rPr>
        <w:rFonts w:hint="eastAsia"/>
      </w:rPr>
    </w:lvl>
    <w:lvl w:ilvl="6" w:tentative="1">
      <w:start w:val="1"/>
      <w:numFmt w:val="decimal"/>
      <w:lvlText w:val="%7."/>
      <w:lvlJc w:val="left"/>
      <w:pPr>
        <w:tabs>
          <w:tab w:val="left" w:pos="363"/>
        </w:tabs>
        <w:ind w:left="0" w:firstLine="363"/>
      </w:pPr>
      <w:rPr>
        <w:rFonts w:hint="eastAsia"/>
      </w:rPr>
    </w:lvl>
    <w:lvl w:ilvl="7" w:tentative="1">
      <w:start w:val="1"/>
      <w:numFmt w:val="lowerLetter"/>
      <w:lvlText w:val="%8)"/>
      <w:lvlJc w:val="left"/>
      <w:pPr>
        <w:tabs>
          <w:tab w:val="left" w:pos="363"/>
        </w:tabs>
        <w:ind w:left="0" w:firstLine="363"/>
      </w:pPr>
      <w:rPr>
        <w:rFonts w:hint="eastAsia"/>
      </w:rPr>
    </w:lvl>
    <w:lvl w:ilvl="8" w:tentative="1">
      <w:start w:val="1"/>
      <w:numFmt w:val="lowerRoman"/>
      <w:lvlText w:val="%9."/>
      <w:lvlJc w:val="right"/>
      <w:pPr>
        <w:tabs>
          <w:tab w:val="left" w:pos="363"/>
        </w:tabs>
        <w:ind w:left="0" w:firstLine="363"/>
      </w:pPr>
      <w:rPr>
        <w:rFonts w:hint="eastAsia"/>
      </w:rPr>
    </w:lvl>
  </w:abstractNum>
  <w:abstractNum w:abstractNumId="1684168954">
    <w:nsid w:val="646260FA"/>
    <w:multiLevelType w:val="multilevel"/>
    <w:tmpl w:val="646260FA"/>
    <w:lvl w:ilvl="0" w:tentative="1">
      <w:start w:val="1"/>
      <w:numFmt w:val="decimal"/>
      <w:pStyle w:val="91"/>
      <w:suff w:val="nothing"/>
      <w:lvlText w:val="表%1　"/>
      <w:lvlJc w:val="left"/>
      <w:pPr>
        <w:ind w:left="0" w:firstLine="0"/>
      </w:pPr>
    </w:lvl>
    <w:lvl w:ilvl="1" w:tentative="1">
      <w:start w:val="1"/>
      <w:numFmt w:val="decimal"/>
      <w:lvlText w:val="%1.%2"/>
      <w:lvlJc w:val="left"/>
      <w:pPr>
        <w:tabs>
          <w:tab w:val="left" w:pos="992"/>
        </w:tabs>
        <w:ind w:left="992" w:hanging="567"/>
      </w:pPr>
    </w:lvl>
    <w:lvl w:ilvl="2" w:tentative="1">
      <w:start w:val="1"/>
      <w:numFmt w:val="decimal"/>
      <w:lvlText w:val="%1.%2.%3"/>
      <w:lvlJc w:val="left"/>
      <w:pPr>
        <w:tabs>
          <w:tab w:val="left" w:pos="1417"/>
        </w:tabs>
        <w:ind w:left="1417" w:hanging="567"/>
      </w:pPr>
    </w:lvl>
    <w:lvl w:ilvl="3" w:tentative="1">
      <w:start w:val="1"/>
      <w:numFmt w:val="decimal"/>
      <w:lvlText w:val="%1.%2.%3.%4"/>
      <w:lvlJc w:val="left"/>
      <w:pPr>
        <w:tabs>
          <w:tab w:val="left" w:pos="1984"/>
        </w:tabs>
        <w:ind w:left="1984" w:hanging="708"/>
      </w:pPr>
    </w:lvl>
    <w:lvl w:ilvl="4" w:tentative="1">
      <w:start w:val="1"/>
      <w:numFmt w:val="decimal"/>
      <w:lvlText w:val="%1.%2.%3.%4.%5"/>
      <w:lvlJc w:val="left"/>
      <w:pPr>
        <w:tabs>
          <w:tab w:val="left" w:pos="2551"/>
        </w:tabs>
        <w:ind w:left="2551" w:hanging="850"/>
      </w:pPr>
    </w:lvl>
    <w:lvl w:ilvl="5" w:tentative="1">
      <w:start w:val="1"/>
      <w:numFmt w:val="decimal"/>
      <w:lvlText w:val="%1.%2.%3.%4.%5.%6"/>
      <w:lvlJc w:val="left"/>
      <w:pPr>
        <w:tabs>
          <w:tab w:val="left" w:pos="3260"/>
        </w:tabs>
        <w:ind w:left="3260" w:hanging="1134"/>
      </w:pPr>
    </w:lvl>
    <w:lvl w:ilvl="6" w:tentative="1">
      <w:start w:val="1"/>
      <w:numFmt w:val="decimal"/>
      <w:lvlText w:val="%1.%2.%3.%4.%5.%6.%7"/>
      <w:lvlJc w:val="left"/>
      <w:pPr>
        <w:tabs>
          <w:tab w:val="left" w:pos="3827"/>
        </w:tabs>
        <w:ind w:left="3827" w:hanging="1276"/>
      </w:pPr>
    </w:lvl>
    <w:lvl w:ilvl="7" w:tentative="1">
      <w:start w:val="1"/>
      <w:numFmt w:val="decimal"/>
      <w:lvlText w:val="%1.%2.%3.%4.%5.%6.%7.%8"/>
      <w:lvlJc w:val="left"/>
      <w:pPr>
        <w:tabs>
          <w:tab w:val="left" w:pos="4394"/>
        </w:tabs>
        <w:ind w:left="4394" w:hanging="1418"/>
      </w:pPr>
    </w:lvl>
    <w:lvl w:ilvl="8" w:tentative="1">
      <w:start w:val="1"/>
      <w:numFmt w:val="decimal"/>
      <w:lvlText w:val="%1.%2.%3.%4.%5.%6.%7.%8.%9"/>
      <w:lvlJc w:val="left"/>
      <w:pPr>
        <w:tabs>
          <w:tab w:val="left" w:pos="5102"/>
        </w:tabs>
        <w:ind w:left="5102" w:hanging="1700"/>
      </w:pPr>
    </w:lvl>
  </w:abstractNum>
  <w:abstractNum w:abstractNumId="1434200821">
    <w:nsid w:val="557C2AF5"/>
    <w:multiLevelType w:val="multilevel"/>
    <w:tmpl w:val="557C2AF5"/>
    <w:lvl w:ilvl="0" w:tentative="1">
      <w:start w:val="1"/>
      <w:numFmt w:val="decimal"/>
      <w:pStyle w:val="93"/>
      <w:suff w:val="nothing"/>
      <w:lvlText w:val="图%1　"/>
      <w:lvlJc w:val="left"/>
      <w:pPr>
        <w:ind w:left="0" w:firstLine="0"/>
      </w:pPr>
    </w:lvl>
    <w:lvl w:ilvl="1" w:tentative="1">
      <w:start w:val="1"/>
      <w:numFmt w:val="decimal"/>
      <w:suff w:val="nothing"/>
      <w:lvlText w:val="%1%2　"/>
      <w:lvlJc w:val="left"/>
      <w:pPr>
        <w:ind w:left="0" w:firstLine="0"/>
      </w:pPr>
    </w:lvl>
    <w:lvl w:ilvl="2" w:tentative="1">
      <w:start w:val="1"/>
      <w:numFmt w:val="decimal"/>
      <w:suff w:val="nothing"/>
      <w:lvlText w:val="%1%2.%3　"/>
      <w:lvlJc w:val="left"/>
      <w:pPr>
        <w:ind w:left="0" w:firstLine="0"/>
      </w:pPr>
    </w:lvl>
    <w:lvl w:ilvl="3" w:tentative="1">
      <w:start w:val="1"/>
      <w:numFmt w:val="decimal"/>
      <w:suff w:val="nothing"/>
      <w:lvlText w:val="%1%2.%3.%4　"/>
      <w:lvlJc w:val="left"/>
      <w:pPr>
        <w:ind w:left="0" w:firstLine="0"/>
      </w:pPr>
    </w:lvl>
    <w:lvl w:ilvl="4" w:tentative="1">
      <w:start w:val="1"/>
      <w:numFmt w:val="decimal"/>
      <w:suff w:val="nothing"/>
      <w:lvlText w:val="%1%2.%3.%4.%5　"/>
      <w:lvlJc w:val="left"/>
      <w:pPr>
        <w:ind w:left="0" w:firstLine="0"/>
      </w:pPr>
    </w:lvl>
    <w:lvl w:ilvl="5" w:tentative="1">
      <w:start w:val="1"/>
      <w:numFmt w:val="decimal"/>
      <w:suff w:val="nothing"/>
      <w:lvlText w:val="%1%2.%3.%4.%5.%6　"/>
      <w:lvlJc w:val="left"/>
      <w:pPr>
        <w:ind w:left="0" w:firstLine="0"/>
      </w:pPr>
    </w:lvl>
    <w:lvl w:ilvl="6" w:tentative="1">
      <w:start w:val="1"/>
      <w:numFmt w:val="decimal"/>
      <w:suff w:val="nothing"/>
      <w:lvlText w:val="%1%2.%3.%4.%5.%6.%7　"/>
      <w:lvlJc w:val="left"/>
      <w:pPr>
        <w:ind w:left="0" w:firstLine="0"/>
      </w:pPr>
    </w:lvl>
    <w:lvl w:ilvl="7" w:tentative="1">
      <w:start w:val="1"/>
      <w:numFmt w:val="decimal"/>
      <w:lvlText w:val="%1.%2.%3.%4.%5.%6.%7.%8"/>
      <w:lvlJc w:val="left"/>
      <w:pPr>
        <w:tabs>
          <w:tab w:val="left" w:pos="4348"/>
        </w:tabs>
        <w:ind w:left="3969" w:hanging="1418"/>
      </w:pPr>
    </w:lvl>
    <w:lvl w:ilvl="8" w:tentative="1">
      <w:start w:val="1"/>
      <w:numFmt w:val="decimal"/>
      <w:lvlText w:val="%1.%2.%3.%4.%5.%6.%7.%8.%9"/>
      <w:lvlJc w:val="left"/>
      <w:pPr>
        <w:tabs>
          <w:tab w:val="left" w:pos="4774"/>
        </w:tabs>
        <w:ind w:left="4677" w:hanging="1701"/>
      </w:pPr>
    </w:lvl>
  </w:abstractNum>
  <w:abstractNum w:abstractNumId="126943917">
    <w:nsid w:val="079102AD"/>
    <w:multiLevelType w:val="multilevel"/>
    <w:tmpl w:val="079102AD"/>
    <w:lvl w:ilvl="0" w:tentative="1">
      <w:start w:val="1"/>
      <w:numFmt w:val="decimal"/>
      <w:pStyle w:val="157"/>
      <w:suff w:val="nothing"/>
      <w:lvlText w:val="注%1："/>
      <w:lvlJc w:val="left"/>
      <w:pPr>
        <w:ind w:left="811" w:hanging="448"/>
      </w:pPr>
      <w:rPr>
        <w:rFonts w:hint="eastAsia" w:ascii="黑体" w:eastAsia="黑体"/>
        <w:b w:val="0"/>
        <w:i w:val="0"/>
        <w:sz w:val="18"/>
      </w:rPr>
    </w:lvl>
    <w:lvl w:ilvl="1" w:tentative="1">
      <w:start w:val="1"/>
      <w:numFmt w:val="lowerLetter"/>
      <w:lvlText w:val="%2)"/>
      <w:lvlJc w:val="left"/>
      <w:pPr>
        <w:tabs>
          <w:tab w:val="left" w:pos="0"/>
        </w:tabs>
        <w:ind w:left="992" w:hanging="629"/>
      </w:pPr>
      <w:rPr>
        <w:rFonts w:hint="eastAsia"/>
      </w:rPr>
    </w:lvl>
    <w:lvl w:ilvl="2" w:tentative="1">
      <w:start w:val="1"/>
      <w:numFmt w:val="lowerRoman"/>
      <w:lvlText w:val="%3."/>
      <w:lvlJc w:val="right"/>
      <w:pPr>
        <w:tabs>
          <w:tab w:val="left" w:pos="0"/>
        </w:tabs>
        <w:ind w:left="992" w:hanging="629"/>
      </w:pPr>
      <w:rPr>
        <w:rFonts w:hint="eastAsia"/>
      </w:rPr>
    </w:lvl>
    <w:lvl w:ilvl="3" w:tentative="1">
      <w:start w:val="1"/>
      <w:numFmt w:val="decimal"/>
      <w:lvlText w:val="%4."/>
      <w:lvlJc w:val="left"/>
      <w:pPr>
        <w:tabs>
          <w:tab w:val="left" w:pos="0"/>
        </w:tabs>
        <w:ind w:left="992" w:hanging="629"/>
      </w:pPr>
      <w:rPr>
        <w:rFonts w:hint="eastAsia"/>
      </w:rPr>
    </w:lvl>
    <w:lvl w:ilvl="4" w:tentative="1">
      <w:start w:val="1"/>
      <w:numFmt w:val="lowerLetter"/>
      <w:lvlText w:val="%5)"/>
      <w:lvlJc w:val="left"/>
      <w:pPr>
        <w:tabs>
          <w:tab w:val="left" w:pos="0"/>
        </w:tabs>
        <w:ind w:left="992" w:hanging="629"/>
      </w:pPr>
      <w:rPr>
        <w:rFonts w:hint="eastAsia"/>
      </w:rPr>
    </w:lvl>
    <w:lvl w:ilvl="5" w:tentative="1">
      <w:start w:val="1"/>
      <w:numFmt w:val="lowerRoman"/>
      <w:lvlText w:val="%6."/>
      <w:lvlJc w:val="right"/>
      <w:pPr>
        <w:tabs>
          <w:tab w:val="left" w:pos="0"/>
        </w:tabs>
        <w:ind w:left="992" w:hanging="629"/>
      </w:pPr>
      <w:rPr>
        <w:rFonts w:hint="eastAsia"/>
      </w:rPr>
    </w:lvl>
    <w:lvl w:ilvl="6" w:tentative="1">
      <w:start w:val="1"/>
      <w:numFmt w:val="decimal"/>
      <w:lvlText w:val="%7."/>
      <w:lvlJc w:val="left"/>
      <w:pPr>
        <w:tabs>
          <w:tab w:val="left" w:pos="0"/>
        </w:tabs>
        <w:ind w:left="992" w:hanging="629"/>
      </w:pPr>
      <w:rPr>
        <w:rFonts w:hint="eastAsia"/>
      </w:rPr>
    </w:lvl>
    <w:lvl w:ilvl="7" w:tentative="1">
      <w:start w:val="1"/>
      <w:numFmt w:val="lowerLetter"/>
      <w:lvlText w:val="%8)"/>
      <w:lvlJc w:val="left"/>
      <w:pPr>
        <w:tabs>
          <w:tab w:val="left" w:pos="0"/>
        </w:tabs>
        <w:ind w:left="992" w:hanging="629"/>
      </w:pPr>
      <w:rPr>
        <w:rFonts w:hint="eastAsia"/>
      </w:rPr>
    </w:lvl>
    <w:lvl w:ilvl="8" w:tentative="1">
      <w:start w:val="1"/>
      <w:numFmt w:val="lowerRoman"/>
      <w:lvlText w:val="%9."/>
      <w:lvlJc w:val="right"/>
      <w:pPr>
        <w:tabs>
          <w:tab w:val="left" w:pos="0"/>
        </w:tabs>
        <w:ind w:left="992" w:hanging="629"/>
      </w:pPr>
      <w:rPr>
        <w:rFonts w:hint="eastAsia"/>
      </w:rPr>
    </w:lvl>
  </w:abstractNum>
  <w:abstractNum w:abstractNumId="67769805">
    <w:nsid w:val="040A15CD"/>
    <w:multiLevelType w:val="multilevel"/>
    <w:tmpl w:val="040A15CD"/>
    <w:lvl w:ilvl="0" w:tentative="1">
      <w:start w:val="1"/>
      <w:numFmt w:val="none"/>
      <w:suff w:val="nothing"/>
      <w:lvlText w:val="　"/>
      <w:lvlJc w:val="left"/>
      <w:pPr>
        <w:ind w:left="0" w:firstLine="0"/>
      </w:pPr>
    </w:lvl>
    <w:lvl w:ilvl="1" w:tentative="1">
      <w:start w:val="1"/>
      <w:numFmt w:val="decimal"/>
      <w:isLgl/>
      <w:suff w:val="nothing"/>
      <w:lvlText w:val="%2　"/>
      <w:lvlJc w:val="left"/>
      <w:pPr>
        <w:ind w:left="0" w:firstLine="0"/>
      </w:pPr>
    </w:lvl>
    <w:lvl w:ilvl="2" w:tentative="1">
      <w:start w:val="1"/>
      <w:numFmt w:val="decimal"/>
      <w:pStyle w:val="136"/>
      <w:suff w:val="nothing"/>
      <w:lvlText w:val="%1%2.%3　"/>
      <w:lvlJc w:val="left"/>
      <w:pPr>
        <w:ind w:left="0" w:firstLine="0"/>
      </w:pPr>
    </w:lvl>
    <w:lvl w:ilvl="3" w:tentative="1">
      <w:start w:val="1"/>
      <w:numFmt w:val="decimal"/>
      <w:pStyle w:val="97"/>
      <w:suff w:val="nothing"/>
      <w:lvlText w:val="%1%2.%3.%4　"/>
      <w:lvlJc w:val="left"/>
      <w:pPr>
        <w:ind w:left="0" w:firstLine="0"/>
      </w:pPr>
    </w:lvl>
    <w:lvl w:ilvl="4" w:tentative="1">
      <w:start w:val="1"/>
      <w:numFmt w:val="decimal"/>
      <w:pStyle w:val="130"/>
      <w:suff w:val="nothing"/>
      <w:lvlText w:val="%1%2.%3.%4.%5　"/>
      <w:lvlJc w:val="left"/>
      <w:pPr>
        <w:ind w:left="0" w:firstLine="0"/>
      </w:pPr>
    </w:lvl>
    <w:lvl w:ilvl="5" w:tentative="1">
      <w:start w:val="1"/>
      <w:numFmt w:val="decimal"/>
      <w:pStyle w:val="132"/>
      <w:suff w:val="nothing"/>
      <w:lvlText w:val="%1%2.%3.%4.%5.%6　"/>
      <w:lvlJc w:val="left"/>
      <w:pPr>
        <w:ind w:left="0" w:firstLine="0"/>
      </w:pPr>
    </w:lvl>
    <w:lvl w:ilvl="6" w:tentative="1">
      <w:start w:val="1"/>
      <w:numFmt w:val="decimal"/>
      <w:pStyle w:val="135"/>
      <w:suff w:val="nothing"/>
      <w:lvlText w:val="%1%2.%3.%4.%5.%6.%7　"/>
      <w:lvlJc w:val="left"/>
      <w:pPr>
        <w:ind w:left="0" w:firstLine="0"/>
      </w:pPr>
    </w:lvl>
    <w:lvl w:ilvl="7" w:tentative="1">
      <w:start w:val="1"/>
      <w:numFmt w:val="decimal"/>
      <w:lvlText w:val="%1.%2.%3.%4.%5.%6.%7.%8"/>
      <w:lvlJc w:val="left"/>
      <w:pPr>
        <w:tabs>
          <w:tab w:val="left" w:pos="4394"/>
        </w:tabs>
        <w:ind w:left="4394" w:hanging="1418"/>
      </w:pPr>
    </w:lvl>
    <w:lvl w:ilvl="8" w:tentative="1">
      <w:start w:val="1"/>
      <w:numFmt w:val="decimal"/>
      <w:lvlText w:val="%1.%2.%3.%4.%5.%6.%7.%8.%9"/>
      <w:lvlJc w:val="left"/>
      <w:pPr>
        <w:tabs>
          <w:tab w:val="left" w:pos="5102"/>
        </w:tabs>
        <w:ind w:left="5102" w:hanging="1700"/>
      </w:pPr>
    </w:lvl>
  </w:abstractNum>
  <w:abstractNum w:abstractNumId="1699358409">
    <w:nsid w:val="654A26C9"/>
    <w:multiLevelType w:val="multilevel"/>
    <w:tmpl w:val="654A26C9"/>
    <w:lvl w:ilvl="0" w:tentative="1">
      <w:start w:val="1"/>
      <w:numFmt w:val="none"/>
      <w:pStyle w:val="164"/>
      <w:lvlText w:val="──"/>
      <w:lvlJc w:val="left"/>
      <w:pPr>
        <w:ind w:left="851" w:firstLine="0"/>
      </w:pPr>
      <w:rPr>
        <w:rFonts w:hint="eastAsia" w:ascii="宋体" w:hAnsi="等线 Light" w:eastAsia="宋体"/>
        <w:b w:val="0"/>
        <w:i w:val="0"/>
        <w:sz w:val="21"/>
      </w:rPr>
    </w:lvl>
    <w:lvl w:ilvl="1" w:tentative="1">
      <w:start w:val="1"/>
      <w:numFmt w:val="bullet"/>
      <w:lvlText w:val=""/>
      <w:lvlJc w:val="left"/>
      <w:pPr>
        <w:ind w:left="1276" w:hanging="425"/>
      </w:pPr>
      <w:rPr>
        <w:rFonts w:hint="default" w:ascii="Wingdings" w:hAnsi="Wingdings"/>
      </w:rPr>
    </w:lvl>
    <w:lvl w:ilvl="2" w:tentative="1">
      <w:start w:val="1"/>
      <w:numFmt w:val="bullet"/>
      <w:lvlText w:val=""/>
      <w:lvlJc w:val="left"/>
      <w:pPr>
        <w:ind w:left="1276" w:hanging="236"/>
      </w:pPr>
      <w:rPr>
        <w:rFonts w:hint="default" w:ascii="Wingdings" w:hAnsi="Wingdings"/>
      </w:rPr>
    </w:lvl>
    <w:lvl w:ilvl="3" w:tentative="1">
      <w:start w:val="1"/>
      <w:numFmt w:val="bullet"/>
      <w:lvlText w:val=""/>
      <w:lvlJc w:val="left"/>
      <w:pPr>
        <w:ind w:left="1880" w:hanging="420"/>
      </w:pPr>
      <w:rPr>
        <w:rFonts w:hint="default" w:ascii="Wingdings" w:hAnsi="Wingdings"/>
      </w:rPr>
    </w:lvl>
    <w:lvl w:ilvl="4" w:tentative="1">
      <w:start w:val="1"/>
      <w:numFmt w:val="bullet"/>
      <w:lvlText w:val=""/>
      <w:lvlJc w:val="left"/>
      <w:pPr>
        <w:ind w:left="2300" w:hanging="420"/>
      </w:pPr>
      <w:rPr>
        <w:rFonts w:hint="default" w:ascii="Wingdings" w:hAnsi="Wingdings"/>
      </w:rPr>
    </w:lvl>
    <w:lvl w:ilvl="5" w:tentative="1">
      <w:start w:val="1"/>
      <w:numFmt w:val="bullet"/>
      <w:lvlText w:val=""/>
      <w:lvlJc w:val="left"/>
      <w:pPr>
        <w:ind w:left="2720" w:hanging="420"/>
      </w:pPr>
      <w:rPr>
        <w:rFonts w:hint="default" w:ascii="Wingdings" w:hAnsi="Wingdings"/>
      </w:rPr>
    </w:lvl>
    <w:lvl w:ilvl="6" w:tentative="1">
      <w:start w:val="1"/>
      <w:numFmt w:val="bullet"/>
      <w:lvlText w:val=""/>
      <w:lvlJc w:val="left"/>
      <w:pPr>
        <w:ind w:left="3140" w:hanging="420"/>
      </w:pPr>
      <w:rPr>
        <w:rFonts w:hint="default" w:ascii="Wingdings" w:hAnsi="Wingdings"/>
      </w:rPr>
    </w:lvl>
    <w:lvl w:ilvl="7" w:tentative="1">
      <w:start w:val="1"/>
      <w:numFmt w:val="bullet"/>
      <w:lvlText w:val=""/>
      <w:lvlJc w:val="left"/>
      <w:pPr>
        <w:ind w:left="3560" w:hanging="420"/>
      </w:pPr>
      <w:rPr>
        <w:rFonts w:hint="default" w:ascii="Wingdings" w:hAnsi="Wingdings"/>
      </w:rPr>
    </w:lvl>
    <w:lvl w:ilvl="8" w:tentative="1">
      <w:start w:val="1"/>
      <w:numFmt w:val="bullet"/>
      <w:lvlText w:val=""/>
      <w:lvlJc w:val="left"/>
      <w:pPr>
        <w:ind w:left="3980" w:hanging="420"/>
      </w:pPr>
      <w:rPr>
        <w:rFonts w:hint="default" w:ascii="Wingdings" w:hAnsi="Wingdings"/>
      </w:rPr>
    </w:lvl>
  </w:abstractNum>
  <w:abstractNum w:abstractNumId="1443068284">
    <w:nsid w:val="5603797C"/>
    <w:multiLevelType w:val="multilevel"/>
    <w:tmpl w:val="5603797C"/>
    <w:lvl w:ilvl="0" w:tentative="1">
      <w:start w:val="1"/>
      <w:numFmt w:val="upperLetter"/>
      <w:pStyle w:val="173"/>
      <w:suff w:val="space"/>
      <w:lvlText w:val="%1"/>
      <w:lvlJc w:val="left"/>
      <w:pPr>
        <w:ind w:left="425" w:hanging="425"/>
      </w:pPr>
      <w:rPr>
        <w:rFonts w:hint="eastAsia"/>
      </w:rPr>
    </w:lvl>
    <w:lvl w:ilvl="1" w:tentative="1">
      <w:start w:val="1"/>
      <w:numFmt w:val="decimal"/>
      <w:pStyle w:val="60"/>
      <w:suff w:val="space"/>
      <w:lvlText w:val="表%1.%2"/>
      <w:lvlJc w:val="center"/>
      <w:pPr>
        <w:ind w:left="0" w:firstLine="0"/>
      </w:pPr>
      <w:rPr>
        <w:rFonts w:hint="eastAsia" w:ascii="黑体" w:eastAsia="黑体"/>
        <w:sz w:val="21"/>
      </w:rPr>
    </w:lvl>
    <w:lvl w:ilvl="2" w:tentative="1">
      <w:start w:val="1"/>
      <w:numFmt w:val="decimal"/>
      <w:lvlText w:val="%1.%2.%3"/>
      <w:lvlJc w:val="left"/>
      <w:pPr>
        <w:ind w:left="1418" w:hanging="567"/>
      </w:pPr>
      <w:rPr>
        <w:rFonts w:hint="eastAsia"/>
      </w:rPr>
    </w:lvl>
    <w:lvl w:ilvl="3" w:tentative="1">
      <w:start w:val="1"/>
      <w:numFmt w:val="decimal"/>
      <w:lvlText w:val="%1.%2.%3.%4"/>
      <w:lvlJc w:val="left"/>
      <w:pPr>
        <w:ind w:left="1984" w:hanging="708"/>
      </w:pPr>
      <w:rPr>
        <w:rFonts w:hint="eastAsia"/>
      </w:rPr>
    </w:lvl>
    <w:lvl w:ilvl="4" w:tentative="1">
      <w:start w:val="1"/>
      <w:numFmt w:val="decimal"/>
      <w:lvlText w:val="%1.%2.%3.%4.%5"/>
      <w:lvlJc w:val="left"/>
      <w:pPr>
        <w:ind w:left="2551" w:hanging="850"/>
      </w:pPr>
      <w:rPr>
        <w:rFonts w:hint="eastAsia"/>
      </w:rPr>
    </w:lvl>
    <w:lvl w:ilvl="5" w:tentative="1">
      <w:start w:val="1"/>
      <w:numFmt w:val="decimal"/>
      <w:lvlText w:val="%1.%2.%3.%4.%5.%6"/>
      <w:lvlJc w:val="left"/>
      <w:pPr>
        <w:ind w:left="3260" w:hanging="1134"/>
      </w:pPr>
      <w:rPr>
        <w:rFonts w:hint="eastAsia"/>
      </w:rPr>
    </w:lvl>
    <w:lvl w:ilvl="6" w:tentative="1">
      <w:start w:val="1"/>
      <w:numFmt w:val="decimal"/>
      <w:lvlText w:val="%1.%2.%3.%4.%5.%6.%7"/>
      <w:lvlJc w:val="left"/>
      <w:pPr>
        <w:ind w:left="3827" w:hanging="1276"/>
      </w:pPr>
      <w:rPr>
        <w:rFonts w:hint="eastAsia"/>
      </w:rPr>
    </w:lvl>
    <w:lvl w:ilvl="7" w:tentative="1">
      <w:start w:val="1"/>
      <w:numFmt w:val="decimal"/>
      <w:lvlText w:val="%1.%2.%3.%4.%5.%6.%7.%8"/>
      <w:lvlJc w:val="left"/>
      <w:pPr>
        <w:ind w:left="4394" w:hanging="1418"/>
      </w:pPr>
      <w:rPr>
        <w:rFonts w:hint="eastAsia"/>
      </w:rPr>
    </w:lvl>
    <w:lvl w:ilvl="8" w:tentative="1">
      <w:start w:val="1"/>
      <w:numFmt w:val="decimal"/>
      <w:lvlText w:val="%1.%2.%3.%4.%5.%6.%7.%8.%9"/>
      <w:lvlJc w:val="left"/>
      <w:pPr>
        <w:ind w:left="5102" w:hanging="1700"/>
      </w:pPr>
      <w:rPr>
        <w:rFonts w:hint="eastAsia"/>
      </w:rPr>
    </w:lvl>
  </w:abstractNum>
  <w:abstractNum w:abstractNumId="1153765264">
    <w:nsid w:val="44C50F90"/>
    <w:multiLevelType w:val="multilevel"/>
    <w:tmpl w:val="44C50F90"/>
    <w:lvl w:ilvl="0" w:tentative="1">
      <w:start w:val="1"/>
      <w:numFmt w:val="lowerLetter"/>
      <w:pStyle w:val="151"/>
      <w:lvlText w:val="%1)"/>
      <w:lvlJc w:val="left"/>
      <w:pPr>
        <w:tabs>
          <w:tab w:val="left" w:pos="851"/>
        </w:tabs>
        <w:ind w:left="851" w:hanging="426"/>
      </w:pPr>
      <w:rPr>
        <w:rFonts w:hint="eastAsia" w:ascii="宋体" w:hAnsi="Times New Roman" w:eastAsia="宋体"/>
        <w:sz w:val="21"/>
      </w:rPr>
    </w:lvl>
    <w:lvl w:ilvl="1" w:tentative="1">
      <w:start w:val="1"/>
      <w:numFmt w:val="decimal"/>
      <w:pStyle w:val="88"/>
      <w:lvlText w:val="%2)"/>
      <w:lvlJc w:val="left"/>
      <w:pPr>
        <w:tabs>
          <w:tab w:val="left" w:pos="1276"/>
        </w:tabs>
        <w:ind w:left="1276" w:hanging="425"/>
      </w:pPr>
      <w:rPr>
        <w:rFonts w:hint="eastAsia" w:ascii="宋体" w:hAnsi="Times New Roman" w:eastAsia="宋体"/>
        <w:sz w:val="21"/>
      </w:rPr>
    </w:lvl>
    <w:lvl w:ilvl="2" w:tentative="1">
      <w:start w:val="1"/>
      <w:numFmt w:val="decimal"/>
      <w:pStyle w:val="96"/>
      <w:lvlText w:val="(%3)"/>
      <w:lvlJc w:val="left"/>
      <w:pPr>
        <w:ind w:left="1701" w:hanging="425"/>
      </w:pPr>
      <w:rPr>
        <w:rFonts w:hint="eastAsia" w:ascii="宋体" w:hAnsi="Times New Roman" w:eastAsia="宋体"/>
        <w:sz w:val="21"/>
      </w:rPr>
    </w:lvl>
    <w:lvl w:ilvl="3" w:tentative="1">
      <w:start w:val="1"/>
      <w:numFmt w:val="decimal"/>
      <w:lvlText w:val="%4."/>
      <w:lvlJc w:val="left"/>
      <w:pPr>
        <w:tabs>
          <w:tab w:val="left" w:pos="2100"/>
        </w:tabs>
        <w:ind w:left="2099" w:hanging="419"/>
      </w:pPr>
      <w:rPr>
        <w:rFonts w:hint="eastAsia"/>
      </w:rPr>
    </w:lvl>
    <w:lvl w:ilvl="4" w:tentative="1">
      <w:start w:val="1"/>
      <w:numFmt w:val="lowerLetter"/>
      <w:lvlText w:val="%5)"/>
      <w:lvlJc w:val="left"/>
      <w:pPr>
        <w:tabs>
          <w:tab w:val="left" w:pos="2520"/>
        </w:tabs>
        <w:ind w:left="2519" w:hanging="419"/>
      </w:pPr>
      <w:rPr>
        <w:rFonts w:hint="eastAsia"/>
      </w:rPr>
    </w:lvl>
    <w:lvl w:ilvl="5" w:tentative="1">
      <w:start w:val="1"/>
      <w:numFmt w:val="lowerRoman"/>
      <w:lvlText w:val="%6."/>
      <w:lvlJc w:val="right"/>
      <w:pPr>
        <w:tabs>
          <w:tab w:val="left" w:pos="2940"/>
        </w:tabs>
        <w:ind w:left="2939" w:hanging="419"/>
      </w:pPr>
      <w:rPr>
        <w:rFonts w:hint="eastAsia"/>
      </w:rPr>
    </w:lvl>
    <w:lvl w:ilvl="6" w:tentative="1">
      <w:start w:val="1"/>
      <w:numFmt w:val="decimal"/>
      <w:lvlText w:val="%7."/>
      <w:lvlJc w:val="left"/>
      <w:pPr>
        <w:tabs>
          <w:tab w:val="left" w:pos="3360"/>
        </w:tabs>
        <w:ind w:left="3359" w:hanging="419"/>
      </w:pPr>
      <w:rPr>
        <w:rFonts w:hint="eastAsia"/>
      </w:rPr>
    </w:lvl>
    <w:lvl w:ilvl="7" w:tentative="1">
      <w:start w:val="1"/>
      <w:numFmt w:val="lowerLetter"/>
      <w:lvlText w:val="%8)"/>
      <w:lvlJc w:val="left"/>
      <w:pPr>
        <w:tabs>
          <w:tab w:val="left" w:pos="3780"/>
        </w:tabs>
        <w:ind w:left="3779" w:hanging="419"/>
      </w:pPr>
      <w:rPr>
        <w:rFonts w:hint="eastAsia"/>
      </w:rPr>
    </w:lvl>
    <w:lvl w:ilvl="8" w:tentative="1">
      <w:start w:val="1"/>
      <w:numFmt w:val="lowerRoman"/>
      <w:lvlText w:val="%9."/>
      <w:lvlJc w:val="right"/>
      <w:pPr>
        <w:tabs>
          <w:tab w:val="left" w:pos="4200"/>
        </w:tabs>
        <w:ind w:left="4199" w:hanging="419"/>
      </w:pPr>
      <w:rPr>
        <w:rFonts w:hint="eastAsia"/>
      </w:rPr>
    </w:lvl>
  </w:abstractNum>
  <w:abstractNum w:abstractNumId="132988906">
    <w:nsid w:val="07ED3FEA"/>
    <w:multiLevelType w:val="multilevel"/>
    <w:tmpl w:val="07ED3FEA"/>
    <w:lvl w:ilvl="0" w:tentative="1">
      <w:start w:val="1"/>
      <w:numFmt w:val="none"/>
      <w:pStyle w:val="71"/>
      <w:lvlText w:val="%1"/>
      <w:lvlJc w:val="left"/>
      <w:pPr>
        <w:ind w:left="425" w:hanging="425"/>
      </w:pPr>
      <w:rPr>
        <w:rFonts w:hint="eastAsia"/>
      </w:rPr>
    </w:lvl>
    <w:lvl w:ilvl="1" w:tentative="1">
      <w:start w:val="1"/>
      <w:numFmt w:val="decimal"/>
      <w:pStyle w:val="174"/>
      <w:suff w:val="nothing"/>
      <w:lvlText w:val="%10.%2 "/>
      <w:lvlJc w:val="left"/>
      <w:pPr>
        <w:ind w:left="0" w:firstLine="0"/>
      </w:pPr>
      <w:rPr>
        <w:rFonts w:hint="eastAsia" w:ascii="黑体" w:hAnsi="等线" w:eastAsia="黑体"/>
        <w:b w:val="0"/>
        <w:i w:val="0"/>
        <w:sz w:val="21"/>
      </w:rPr>
    </w:lvl>
    <w:lvl w:ilvl="2" w:tentative="1">
      <w:start w:val="1"/>
      <w:numFmt w:val="decimal"/>
      <w:pStyle w:val="175"/>
      <w:suff w:val="nothing"/>
      <w:lvlText w:val="%10.%2.%3 "/>
      <w:lvlJc w:val="left"/>
      <w:pPr>
        <w:ind w:left="0" w:firstLine="0"/>
      </w:pPr>
      <w:rPr>
        <w:rFonts w:hint="eastAsia" w:ascii="黑体" w:hAnsi="等线" w:eastAsia="黑体"/>
        <w:b w:val="0"/>
        <w:i w:val="0"/>
        <w:sz w:val="21"/>
      </w:rPr>
    </w:lvl>
    <w:lvl w:ilvl="3" w:tentative="1">
      <w:start w:val="1"/>
      <w:numFmt w:val="decimal"/>
      <w:pStyle w:val="176"/>
      <w:suff w:val="nothing"/>
      <w:lvlText w:val="%10.%2.%3.%4 "/>
      <w:lvlJc w:val="left"/>
      <w:pPr>
        <w:ind w:left="0" w:firstLine="0"/>
      </w:pPr>
      <w:rPr>
        <w:rFonts w:hint="eastAsia" w:ascii="黑体" w:hAnsi="等线" w:eastAsia="黑体"/>
        <w:b w:val="0"/>
        <w:i w:val="0"/>
        <w:sz w:val="21"/>
      </w:rPr>
    </w:lvl>
    <w:lvl w:ilvl="4" w:tentative="1">
      <w:start w:val="1"/>
      <w:numFmt w:val="decimal"/>
      <w:pStyle w:val="177"/>
      <w:suff w:val="nothing"/>
      <w:lvlText w:val="%10.%2.%3.%4.%5 "/>
      <w:lvlJc w:val="left"/>
      <w:pPr>
        <w:ind w:left="0" w:firstLine="0"/>
      </w:pPr>
      <w:rPr>
        <w:rFonts w:hint="eastAsia" w:ascii="黑体" w:hAnsi="等线" w:eastAsia="黑体"/>
        <w:b w:val="0"/>
        <w:i w:val="0"/>
        <w:sz w:val="21"/>
      </w:rPr>
    </w:lvl>
    <w:lvl w:ilvl="5" w:tentative="1">
      <w:start w:val="1"/>
      <w:numFmt w:val="decimal"/>
      <w:pStyle w:val="178"/>
      <w:suff w:val="nothing"/>
      <w:lvlText w:val="%10.%2.%3.%4.%5.%6 "/>
      <w:lvlJc w:val="left"/>
      <w:pPr>
        <w:ind w:left="0" w:firstLine="0"/>
      </w:pPr>
      <w:rPr>
        <w:rFonts w:hint="eastAsia" w:ascii="黑体" w:hAnsi="等线" w:eastAsia="黑体"/>
        <w:b w:val="0"/>
        <w:i w:val="0"/>
        <w:sz w:val="21"/>
      </w:rPr>
    </w:lvl>
    <w:lvl w:ilvl="6" w:tentative="1">
      <w:start w:val="1"/>
      <w:numFmt w:val="decimal"/>
      <w:lvlText w:val="%1.%2.%3.%4.%5.%6.%7"/>
      <w:lvlJc w:val="left"/>
      <w:pPr>
        <w:ind w:left="3827" w:hanging="1276"/>
      </w:pPr>
      <w:rPr>
        <w:rFonts w:hint="eastAsia"/>
      </w:rPr>
    </w:lvl>
    <w:lvl w:ilvl="7" w:tentative="1">
      <w:start w:val="1"/>
      <w:numFmt w:val="decimal"/>
      <w:lvlText w:val="%1.%2.%3.%4.%5.%6.%7.%8"/>
      <w:lvlJc w:val="left"/>
      <w:pPr>
        <w:ind w:left="4394" w:hanging="1418"/>
      </w:pPr>
      <w:rPr>
        <w:rFonts w:hint="eastAsia"/>
      </w:rPr>
    </w:lvl>
    <w:lvl w:ilvl="8" w:tentative="1">
      <w:start w:val="1"/>
      <w:numFmt w:val="decimal"/>
      <w:lvlText w:val="%1.%2.%3.%4.%5.%6.%7.%8.%9"/>
      <w:lvlJc w:val="left"/>
      <w:pPr>
        <w:ind w:left="5102" w:hanging="1700"/>
      </w:pPr>
      <w:rPr>
        <w:rFonts w:hint="eastAsia"/>
      </w:rPr>
    </w:lvl>
  </w:abstractNum>
  <w:abstractNum w:abstractNumId="198973040">
    <w:nsid w:val="0BDC1670"/>
    <w:multiLevelType w:val="multilevel"/>
    <w:tmpl w:val="0BDC1670"/>
    <w:lvl w:ilvl="0" w:tentative="1">
      <w:start w:val="1"/>
      <w:numFmt w:val="decimal"/>
      <w:pStyle w:val="50"/>
      <w:lvlText w:val="[%1]"/>
      <w:lvlJc w:val="left"/>
      <w:pPr>
        <w:ind w:left="823" w:hanging="420"/>
      </w:pPr>
    </w:lvl>
    <w:lvl w:ilvl="1" w:tentative="1">
      <w:start w:val="1"/>
      <w:numFmt w:val="lowerLetter"/>
      <w:lvlText w:val="%2)"/>
      <w:lvlJc w:val="left"/>
      <w:pPr>
        <w:tabs>
          <w:tab w:val="left" w:pos="840"/>
        </w:tabs>
        <w:ind w:left="840" w:hanging="420"/>
      </w:pPr>
    </w:lvl>
    <w:lvl w:ilvl="2" w:tentative="1">
      <w:start w:val="1"/>
      <w:numFmt w:val="lowerRoman"/>
      <w:lvlText w:val="%3."/>
      <w:lvlJc w:val="right"/>
      <w:pPr>
        <w:tabs>
          <w:tab w:val="left" w:pos="1260"/>
        </w:tabs>
        <w:ind w:left="1260" w:hanging="420"/>
      </w:pPr>
    </w:lvl>
    <w:lvl w:ilvl="3" w:tentative="1">
      <w:start w:val="1"/>
      <w:numFmt w:val="decimal"/>
      <w:lvlText w:val="%4."/>
      <w:lvlJc w:val="left"/>
      <w:pPr>
        <w:tabs>
          <w:tab w:val="left" w:pos="1680"/>
        </w:tabs>
        <w:ind w:left="1680" w:hanging="420"/>
      </w:pPr>
    </w:lvl>
    <w:lvl w:ilvl="4" w:tentative="1">
      <w:start w:val="1"/>
      <w:numFmt w:val="lowerLetter"/>
      <w:lvlText w:val="%5)"/>
      <w:lvlJc w:val="left"/>
      <w:pPr>
        <w:tabs>
          <w:tab w:val="left" w:pos="2100"/>
        </w:tabs>
        <w:ind w:left="2100" w:hanging="420"/>
      </w:pPr>
    </w:lvl>
    <w:lvl w:ilvl="5" w:tentative="1">
      <w:start w:val="1"/>
      <w:numFmt w:val="lowerRoman"/>
      <w:lvlText w:val="%6."/>
      <w:lvlJc w:val="right"/>
      <w:pPr>
        <w:tabs>
          <w:tab w:val="left" w:pos="2520"/>
        </w:tabs>
        <w:ind w:left="2520" w:hanging="420"/>
      </w:pPr>
    </w:lvl>
    <w:lvl w:ilvl="6" w:tentative="1">
      <w:start w:val="1"/>
      <w:numFmt w:val="decimal"/>
      <w:lvlText w:val="%7."/>
      <w:lvlJc w:val="left"/>
      <w:pPr>
        <w:tabs>
          <w:tab w:val="left" w:pos="2940"/>
        </w:tabs>
        <w:ind w:left="2940" w:hanging="420"/>
      </w:pPr>
    </w:lvl>
    <w:lvl w:ilvl="7" w:tentative="1">
      <w:start w:val="1"/>
      <w:numFmt w:val="lowerLetter"/>
      <w:lvlText w:val="%8)"/>
      <w:lvlJc w:val="left"/>
      <w:pPr>
        <w:tabs>
          <w:tab w:val="left" w:pos="3360"/>
        </w:tabs>
        <w:ind w:left="3360" w:hanging="420"/>
      </w:pPr>
    </w:lvl>
    <w:lvl w:ilvl="8" w:tentative="1">
      <w:start w:val="1"/>
      <w:numFmt w:val="lowerRoman"/>
      <w:lvlText w:val="%9."/>
      <w:lvlJc w:val="right"/>
      <w:pPr>
        <w:tabs>
          <w:tab w:val="left" w:pos="3780"/>
        </w:tabs>
        <w:ind w:left="3780" w:hanging="420"/>
      </w:pPr>
    </w:lvl>
  </w:abstractNum>
  <w:abstractNum w:abstractNumId="1841235188">
    <w:nsid w:val="6DBF04F4"/>
    <w:multiLevelType w:val="multilevel"/>
    <w:tmpl w:val="6DBF04F4"/>
    <w:lvl w:ilvl="0" w:tentative="1">
      <w:start w:val="1"/>
      <w:numFmt w:val="none"/>
      <w:pStyle w:val="156"/>
      <w:lvlText w:val="%1注："/>
      <w:lvlJc w:val="left"/>
      <w:pPr>
        <w:ind w:left="737" w:hanging="374"/>
      </w:pPr>
      <w:rPr>
        <w:rFonts w:hint="eastAsia" w:ascii="黑体" w:eastAsia="黑体"/>
        <w:b w:val="0"/>
        <w:i w:val="0"/>
        <w:sz w:val="18"/>
      </w:rPr>
    </w:lvl>
    <w:lvl w:ilvl="1" w:tentative="1">
      <w:start w:val="1"/>
      <w:numFmt w:val="lowerLetter"/>
      <w:lvlText w:val="%2)"/>
      <w:lvlJc w:val="left"/>
      <w:pPr>
        <w:tabs>
          <w:tab w:val="left" w:pos="1140"/>
        </w:tabs>
        <w:ind w:left="726" w:hanging="363"/>
      </w:pPr>
      <w:rPr>
        <w:rFonts w:hint="eastAsia"/>
      </w:rPr>
    </w:lvl>
    <w:lvl w:ilvl="2" w:tentative="1">
      <w:start w:val="1"/>
      <w:numFmt w:val="lowerRoman"/>
      <w:lvlText w:val="%3."/>
      <w:lvlJc w:val="right"/>
      <w:pPr>
        <w:tabs>
          <w:tab w:val="left" w:pos="1140"/>
        </w:tabs>
        <w:ind w:left="726" w:hanging="363"/>
      </w:pPr>
      <w:rPr>
        <w:rFonts w:hint="eastAsia"/>
      </w:rPr>
    </w:lvl>
    <w:lvl w:ilvl="3" w:tentative="1">
      <w:start w:val="1"/>
      <w:numFmt w:val="decimal"/>
      <w:lvlText w:val="%4."/>
      <w:lvlJc w:val="left"/>
      <w:pPr>
        <w:tabs>
          <w:tab w:val="left" w:pos="1140"/>
        </w:tabs>
        <w:ind w:left="726" w:hanging="363"/>
      </w:pPr>
      <w:rPr>
        <w:rFonts w:hint="eastAsia"/>
      </w:rPr>
    </w:lvl>
    <w:lvl w:ilvl="4" w:tentative="1">
      <w:start w:val="1"/>
      <w:numFmt w:val="lowerLetter"/>
      <w:lvlText w:val="%5)"/>
      <w:lvlJc w:val="left"/>
      <w:pPr>
        <w:tabs>
          <w:tab w:val="left" w:pos="1140"/>
        </w:tabs>
        <w:ind w:left="726" w:hanging="363"/>
      </w:pPr>
      <w:rPr>
        <w:rFonts w:hint="eastAsia"/>
      </w:rPr>
    </w:lvl>
    <w:lvl w:ilvl="5" w:tentative="1">
      <w:start w:val="1"/>
      <w:numFmt w:val="lowerRoman"/>
      <w:lvlText w:val="%6."/>
      <w:lvlJc w:val="right"/>
      <w:pPr>
        <w:tabs>
          <w:tab w:val="left" w:pos="1140"/>
        </w:tabs>
        <w:ind w:left="726" w:hanging="363"/>
      </w:pPr>
      <w:rPr>
        <w:rFonts w:hint="eastAsia"/>
      </w:rPr>
    </w:lvl>
    <w:lvl w:ilvl="6" w:tentative="1">
      <w:start w:val="1"/>
      <w:numFmt w:val="decimal"/>
      <w:lvlText w:val="%7."/>
      <w:lvlJc w:val="left"/>
      <w:pPr>
        <w:tabs>
          <w:tab w:val="left" w:pos="1140"/>
        </w:tabs>
        <w:ind w:left="726" w:hanging="363"/>
      </w:pPr>
      <w:rPr>
        <w:rFonts w:hint="eastAsia"/>
      </w:rPr>
    </w:lvl>
    <w:lvl w:ilvl="7" w:tentative="1">
      <w:start w:val="1"/>
      <w:numFmt w:val="lowerLetter"/>
      <w:lvlText w:val="%8)"/>
      <w:lvlJc w:val="left"/>
      <w:pPr>
        <w:tabs>
          <w:tab w:val="left" w:pos="1140"/>
        </w:tabs>
        <w:ind w:left="726" w:hanging="363"/>
      </w:pPr>
      <w:rPr>
        <w:rFonts w:hint="eastAsia"/>
      </w:rPr>
    </w:lvl>
    <w:lvl w:ilvl="8" w:tentative="1">
      <w:start w:val="1"/>
      <w:numFmt w:val="lowerRoman"/>
      <w:lvlText w:val="%9."/>
      <w:lvlJc w:val="right"/>
      <w:pPr>
        <w:tabs>
          <w:tab w:val="left" w:pos="1140"/>
        </w:tabs>
        <w:ind w:left="726" w:hanging="363"/>
      </w:pPr>
      <w:rPr>
        <w:rFonts w:hint="eastAsia"/>
      </w:rPr>
    </w:lvl>
  </w:abstractNum>
  <w:abstractNum w:abstractNumId="744036291">
    <w:nsid w:val="2C5917C3"/>
    <w:multiLevelType w:val="multilevel"/>
    <w:tmpl w:val="2C5917C3"/>
    <w:lvl w:ilvl="0" w:tentative="1">
      <w:start w:val="1"/>
      <w:numFmt w:val="none"/>
      <w:pStyle w:val="111"/>
      <w:lvlText w:val="%1——"/>
      <w:lvlJc w:val="left"/>
      <w:pPr>
        <w:tabs>
          <w:tab w:val="left" w:pos="851"/>
        </w:tabs>
        <w:ind w:left="851" w:hanging="426"/>
      </w:pPr>
      <w:rPr>
        <w:rFonts w:hint="eastAsia" w:ascii="宋体" w:hAnsi="Times New Roman" w:eastAsia="宋体"/>
        <w:b w:val="0"/>
        <w:i w:val="0"/>
        <w:sz w:val="21"/>
      </w:rPr>
    </w:lvl>
    <w:lvl w:ilvl="1" w:tentative="1">
      <w:start w:val="1"/>
      <w:numFmt w:val="none"/>
      <w:pStyle w:val="162"/>
      <w:lvlText w:val=""/>
      <w:lvlJc w:val="left"/>
      <w:pPr>
        <w:ind w:left="851" w:hanging="431"/>
      </w:pPr>
      <w:rPr>
        <w:rFonts w:hint="default" w:ascii="Symbol" w:hAnsi="Symbol"/>
        <w:sz w:val="21"/>
      </w:rPr>
    </w:lvl>
    <w:lvl w:ilvl="2" w:tentative="1">
      <w:start w:val="1"/>
      <w:numFmt w:val="bullet"/>
      <w:pStyle w:val="149"/>
      <w:lvlText w:val=""/>
      <w:lvlJc w:val="left"/>
      <w:pPr>
        <w:ind w:left="851" w:hanging="426"/>
      </w:pPr>
      <w:rPr>
        <w:rFonts w:hint="default" w:ascii="Wingdings" w:hAnsi="Wingdings"/>
        <w:sz w:val="21"/>
      </w:rPr>
    </w:lvl>
    <w:lvl w:ilvl="3" w:tentative="1">
      <w:start w:val="1"/>
      <w:numFmt w:val="decimal"/>
      <w:lvlText w:val="%4."/>
      <w:lvlJc w:val="left"/>
      <w:pPr>
        <w:tabs>
          <w:tab w:val="left" w:pos="2071"/>
        </w:tabs>
        <w:ind w:left="1884" w:hanging="528"/>
      </w:pPr>
      <w:rPr>
        <w:rFonts w:hint="eastAsia"/>
      </w:rPr>
    </w:lvl>
    <w:lvl w:ilvl="4" w:tentative="1">
      <w:start w:val="1"/>
      <w:numFmt w:val="lowerLetter"/>
      <w:lvlText w:val="%5)"/>
      <w:lvlJc w:val="left"/>
      <w:pPr>
        <w:tabs>
          <w:tab w:val="left" w:pos="2383"/>
        </w:tabs>
        <w:ind w:left="2196" w:hanging="528"/>
      </w:pPr>
      <w:rPr>
        <w:rFonts w:hint="eastAsia"/>
      </w:rPr>
    </w:lvl>
    <w:lvl w:ilvl="5" w:tentative="1">
      <w:start w:val="1"/>
      <w:numFmt w:val="lowerRoman"/>
      <w:lvlText w:val="%6."/>
      <w:lvlJc w:val="right"/>
      <w:pPr>
        <w:tabs>
          <w:tab w:val="left" w:pos="2695"/>
        </w:tabs>
        <w:ind w:left="2508" w:hanging="528"/>
      </w:pPr>
      <w:rPr>
        <w:rFonts w:hint="eastAsia"/>
      </w:rPr>
    </w:lvl>
    <w:lvl w:ilvl="6" w:tentative="1">
      <w:start w:val="1"/>
      <w:numFmt w:val="decimal"/>
      <w:lvlText w:val="%7."/>
      <w:lvlJc w:val="left"/>
      <w:pPr>
        <w:tabs>
          <w:tab w:val="left" w:pos="3007"/>
        </w:tabs>
        <w:ind w:left="2820" w:hanging="528"/>
      </w:pPr>
      <w:rPr>
        <w:rFonts w:hint="eastAsia"/>
      </w:rPr>
    </w:lvl>
    <w:lvl w:ilvl="7" w:tentative="1">
      <w:start w:val="1"/>
      <w:numFmt w:val="lowerLetter"/>
      <w:lvlText w:val="%8)"/>
      <w:lvlJc w:val="left"/>
      <w:pPr>
        <w:tabs>
          <w:tab w:val="left" w:pos="3319"/>
        </w:tabs>
        <w:ind w:left="3132" w:hanging="528"/>
      </w:pPr>
      <w:rPr>
        <w:rFonts w:hint="eastAsia"/>
      </w:rPr>
    </w:lvl>
    <w:lvl w:ilvl="8" w:tentative="1">
      <w:start w:val="1"/>
      <w:numFmt w:val="lowerRoman"/>
      <w:lvlText w:val="%9."/>
      <w:lvlJc w:val="right"/>
      <w:pPr>
        <w:tabs>
          <w:tab w:val="left" w:pos="3631"/>
        </w:tabs>
        <w:ind w:left="3444" w:hanging="528"/>
      </w:pPr>
      <w:rPr>
        <w:rFonts w:hint="eastAsia"/>
      </w:rPr>
    </w:lvl>
  </w:abstractNum>
  <w:abstractNum w:abstractNumId="1702707132">
    <w:nsid w:val="657D3FBC"/>
    <w:multiLevelType w:val="multilevel"/>
    <w:tmpl w:val="657D3FBC"/>
    <w:lvl w:ilvl="0" w:tentative="1">
      <w:start w:val="1"/>
      <w:numFmt w:val="upperLetter"/>
      <w:pStyle w:val="59"/>
      <w:suff w:val="nothing"/>
      <w:lvlText w:val="附录%1"/>
      <w:lvlJc w:val="left"/>
      <w:pPr>
        <w:ind w:left="0" w:firstLine="0"/>
      </w:pPr>
      <w:rPr>
        <w:rFonts w:hint="eastAsia"/>
        <w:spacing w:val="100"/>
      </w:rPr>
    </w:lvl>
    <w:lvl w:ilvl="1" w:tentative="1">
      <w:start w:val="1"/>
      <w:numFmt w:val="decimal"/>
      <w:pStyle w:val="61"/>
      <w:suff w:val="nothing"/>
      <w:lvlText w:val="%1.%2　"/>
      <w:lvlJc w:val="left"/>
      <w:pPr>
        <w:ind w:left="0" w:firstLine="0"/>
      </w:pPr>
      <w:rPr>
        <w:rFonts w:hint="eastAsia" w:ascii="黑体" w:eastAsia="黑体"/>
        <w:b w:val="0"/>
        <w:i w:val="0"/>
        <w:sz w:val="21"/>
      </w:rPr>
    </w:lvl>
    <w:lvl w:ilvl="2" w:tentative="1">
      <w:start w:val="1"/>
      <w:numFmt w:val="decimal"/>
      <w:pStyle w:val="62"/>
      <w:suff w:val="nothing"/>
      <w:lvlText w:val="%1.%2.%3　"/>
      <w:lvlJc w:val="left"/>
      <w:pPr>
        <w:ind w:left="0" w:firstLine="0"/>
      </w:pPr>
      <w:rPr>
        <w:rFonts w:hint="eastAsia" w:ascii="黑体" w:eastAsia="黑体"/>
        <w:b w:val="0"/>
        <w:i w:val="0"/>
        <w:sz w:val="21"/>
      </w:rPr>
    </w:lvl>
    <w:lvl w:ilvl="3" w:tentative="1">
      <w:start w:val="1"/>
      <w:numFmt w:val="decimal"/>
      <w:pStyle w:val="64"/>
      <w:suff w:val="nothing"/>
      <w:lvlText w:val="%1.%2.%3.%4　"/>
      <w:lvlJc w:val="left"/>
      <w:pPr>
        <w:ind w:left="0" w:firstLine="0"/>
      </w:pPr>
      <w:rPr>
        <w:rFonts w:hint="eastAsia" w:ascii="黑体" w:eastAsia="黑体"/>
        <w:b w:val="0"/>
        <w:i w:val="0"/>
        <w:sz w:val="21"/>
      </w:rPr>
    </w:lvl>
    <w:lvl w:ilvl="4" w:tentative="1">
      <w:start w:val="1"/>
      <w:numFmt w:val="decimal"/>
      <w:pStyle w:val="65"/>
      <w:suff w:val="nothing"/>
      <w:lvlText w:val="%1.%2.%3.%4.%5　"/>
      <w:lvlJc w:val="left"/>
      <w:pPr>
        <w:ind w:left="0" w:firstLine="0"/>
      </w:pPr>
      <w:rPr>
        <w:rFonts w:hint="eastAsia" w:ascii="黑体" w:eastAsia="黑体"/>
        <w:b w:val="0"/>
        <w:i w:val="0"/>
        <w:sz w:val="21"/>
      </w:rPr>
    </w:lvl>
    <w:lvl w:ilvl="5" w:tentative="1">
      <w:start w:val="1"/>
      <w:numFmt w:val="decimal"/>
      <w:pStyle w:val="67"/>
      <w:suff w:val="nothing"/>
      <w:lvlText w:val="%1.%2.%3.%4.%5.%6　"/>
      <w:lvlJc w:val="left"/>
      <w:pPr>
        <w:ind w:left="0" w:firstLine="0"/>
      </w:pPr>
      <w:rPr>
        <w:rFonts w:hint="eastAsia" w:ascii="黑体" w:eastAsia="黑体"/>
        <w:b w:val="0"/>
        <w:i w:val="0"/>
        <w:sz w:val="21"/>
      </w:rPr>
    </w:lvl>
    <w:lvl w:ilvl="6" w:tentative="1">
      <w:start w:val="1"/>
      <w:numFmt w:val="decimal"/>
      <w:suff w:val="nothing"/>
      <w:lvlText w:val="%1.%2.%3.%4.%5.%6.%7　"/>
      <w:lvlJc w:val="left"/>
      <w:pPr>
        <w:ind w:left="0" w:firstLine="0"/>
      </w:pPr>
      <w:rPr>
        <w:rFonts w:hint="eastAsia"/>
      </w:rPr>
    </w:lvl>
    <w:lvl w:ilvl="7" w:tentative="1">
      <w:start w:val="1"/>
      <w:numFmt w:val="decimal"/>
      <w:lvlText w:val="%1.%2.%3.%4.%5.%6.%7.%8"/>
      <w:lvlJc w:val="left"/>
      <w:pPr>
        <w:tabs>
          <w:tab w:val="left" w:pos="4394"/>
        </w:tabs>
        <w:ind w:left="4394" w:hanging="1418"/>
      </w:pPr>
      <w:rPr>
        <w:rFonts w:hint="eastAsia"/>
      </w:rPr>
    </w:lvl>
    <w:lvl w:ilvl="8" w:tentative="1">
      <w:start w:val="1"/>
      <w:numFmt w:val="decimal"/>
      <w:lvlText w:val="%1.%2.%3.%4.%5.%6.%7.%8.%9"/>
      <w:lvlJc w:val="left"/>
      <w:pPr>
        <w:tabs>
          <w:tab w:val="left" w:pos="5102"/>
        </w:tabs>
        <w:ind w:left="5102" w:hanging="1700"/>
      </w:pPr>
      <w:rPr>
        <w:rFonts w:hint="eastAsia"/>
      </w:rPr>
    </w:lvl>
  </w:abstractNum>
  <w:abstractNum w:abstractNumId="1826892481">
    <w:nsid w:val="6CE42AC1"/>
    <w:multiLevelType w:val="multilevel"/>
    <w:tmpl w:val="6CE42AC1"/>
    <w:lvl w:ilvl="0" w:tentative="1">
      <w:start w:val="1"/>
      <w:numFmt w:val="lowerLetter"/>
      <w:pStyle w:val="150"/>
      <w:lvlText w:val="%1"/>
      <w:lvlJc w:val="left"/>
      <w:pPr>
        <w:ind w:left="420" w:hanging="420"/>
      </w:p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682318073">
    <w:nsid w:val="644622F9"/>
    <w:multiLevelType w:val="multilevel"/>
    <w:tmpl w:val="644622F9"/>
    <w:lvl w:ilvl="0" w:tentative="1">
      <w:start w:val="1"/>
      <w:numFmt w:val="upperRoman"/>
      <w:pStyle w:val="145"/>
      <w:lvlText w:val="%1)"/>
      <w:lvlJc w:val="left"/>
      <w:pPr>
        <w:tabs>
          <w:tab w:val="left" w:pos="851"/>
        </w:tabs>
        <w:ind w:left="851" w:hanging="426"/>
      </w:pPr>
      <w:rPr>
        <w:rFonts w:hint="eastAsia" w:ascii="宋体" w:hAnsi="Times New Roman" w:eastAsia="宋体"/>
        <w:sz w:val="21"/>
      </w:rPr>
    </w:lvl>
    <w:lvl w:ilvl="1" w:tentative="1">
      <w:start w:val="1"/>
      <w:numFmt w:val="lowerLetter"/>
      <w:lvlText w:val="%2)"/>
      <w:lvlJc w:val="left"/>
      <w:pPr>
        <w:tabs>
          <w:tab w:val="left" w:pos="1310"/>
        </w:tabs>
        <w:ind w:left="1310" w:hanging="420"/>
      </w:pPr>
      <w:rPr>
        <w:rFonts w:hint="eastAsia"/>
      </w:rPr>
    </w:lvl>
    <w:lvl w:ilvl="2" w:tentative="1">
      <w:start w:val="1"/>
      <w:numFmt w:val="lowerRoman"/>
      <w:lvlText w:val="%3."/>
      <w:lvlJc w:val="right"/>
      <w:pPr>
        <w:tabs>
          <w:tab w:val="left" w:pos="1730"/>
        </w:tabs>
        <w:ind w:left="1730" w:hanging="420"/>
      </w:pPr>
      <w:rPr>
        <w:rFonts w:hint="eastAsia"/>
      </w:rPr>
    </w:lvl>
    <w:lvl w:ilvl="3" w:tentative="1">
      <w:start w:val="1"/>
      <w:numFmt w:val="decimal"/>
      <w:lvlText w:val="%4."/>
      <w:lvlJc w:val="left"/>
      <w:pPr>
        <w:tabs>
          <w:tab w:val="left" w:pos="2150"/>
        </w:tabs>
        <w:ind w:left="2150" w:hanging="420"/>
      </w:pPr>
      <w:rPr>
        <w:rFonts w:hint="eastAsia"/>
      </w:rPr>
    </w:lvl>
    <w:lvl w:ilvl="4" w:tentative="1">
      <w:start w:val="1"/>
      <w:numFmt w:val="lowerLetter"/>
      <w:lvlText w:val="%5)"/>
      <w:lvlJc w:val="left"/>
      <w:pPr>
        <w:tabs>
          <w:tab w:val="left" w:pos="2570"/>
        </w:tabs>
        <w:ind w:left="2570" w:hanging="420"/>
      </w:pPr>
      <w:rPr>
        <w:rFonts w:hint="eastAsia"/>
      </w:rPr>
    </w:lvl>
    <w:lvl w:ilvl="5" w:tentative="1">
      <w:start w:val="1"/>
      <w:numFmt w:val="lowerRoman"/>
      <w:lvlText w:val="%6."/>
      <w:lvlJc w:val="right"/>
      <w:pPr>
        <w:tabs>
          <w:tab w:val="left" w:pos="2990"/>
        </w:tabs>
        <w:ind w:left="2990" w:hanging="420"/>
      </w:pPr>
      <w:rPr>
        <w:rFonts w:hint="eastAsia"/>
      </w:rPr>
    </w:lvl>
    <w:lvl w:ilvl="6" w:tentative="1">
      <w:start w:val="1"/>
      <w:numFmt w:val="decimal"/>
      <w:lvlText w:val="%7."/>
      <w:lvlJc w:val="left"/>
      <w:pPr>
        <w:tabs>
          <w:tab w:val="left" w:pos="3410"/>
        </w:tabs>
        <w:ind w:left="3410" w:hanging="420"/>
      </w:pPr>
      <w:rPr>
        <w:rFonts w:hint="eastAsia"/>
      </w:rPr>
    </w:lvl>
    <w:lvl w:ilvl="7" w:tentative="1">
      <w:start w:val="1"/>
      <w:numFmt w:val="lowerLetter"/>
      <w:lvlText w:val="%8)"/>
      <w:lvlJc w:val="left"/>
      <w:pPr>
        <w:tabs>
          <w:tab w:val="left" w:pos="3830"/>
        </w:tabs>
        <w:ind w:left="3830" w:hanging="420"/>
      </w:pPr>
      <w:rPr>
        <w:rFonts w:hint="eastAsia"/>
      </w:rPr>
    </w:lvl>
    <w:lvl w:ilvl="8" w:tentative="1">
      <w:start w:val="1"/>
      <w:numFmt w:val="lowerRoman"/>
      <w:lvlText w:val="%9."/>
      <w:lvlJc w:val="right"/>
      <w:pPr>
        <w:tabs>
          <w:tab w:val="left" w:pos="4250"/>
        </w:tabs>
        <w:ind w:left="4250" w:hanging="420"/>
      </w:pPr>
      <w:rPr>
        <w:rFonts w:hint="eastAsia"/>
      </w:rPr>
    </w:lvl>
  </w:abstractNum>
  <w:abstractNum w:abstractNumId="1822693765">
    <w:nsid w:val="6CA41985"/>
    <w:multiLevelType w:val="multilevel"/>
    <w:tmpl w:val="6CA41985"/>
    <w:lvl w:ilvl="0" w:tentative="1">
      <w:start w:val="1"/>
      <w:numFmt w:val="decimal"/>
      <w:pStyle w:val="78"/>
      <w:lvlText w:val="%1)"/>
      <w:lvlJc w:val="left"/>
      <w:pPr>
        <w:tabs>
          <w:tab w:val="left" w:pos="823"/>
        </w:tabs>
        <w:ind w:left="823" w:hanging="420"/>
      </w:pPr>
    </w:lvl>
    <w:lvl w:ilvl="1" w:tentative="1">
      <w:start w:val="1"/>
      <w:numFmt w:val="lowerLetter"/>
      <w:lvlText w:val="%2)"/>
      <w:lvlJc w:val="left"/>
      <w:pPr>
        <w:tabs>
          <w:tab w:val="left" w:pos="840"/>
        </w:tabs>
        <w:ind w:left="840" w:hanging="420"/>
      </w:pPr>
    </w:lvl>
    <w:lvl w:ilvl="2" w:tentative="1">
      <w:start w:val="1"/>
      <w:numFmt w:val="lowerRoman"/>
      <w:lvlText w:val="%3."/>
      <w:lvlJc w:val="right"/>
      <w:pPr>
        <w:tabs>
          <w:tab w:val="left" w:pos="1260"/>
        </w:tabs>
        <w:ind w:left="1260" w:hanging="420"/>
      </w:pPr>
    </w:lvl>
    <w:lvl w:ilvl="3" w:tentative="1">
      <w:start w:val="1"/>
      <w:numFmt w:val="decimal"/>
      <w:lvlText w:val="%4."/>
      <w:lvlJc w:val="left"/>
      <w:pPr>
        <w:tabs>
          <w:tab w:val="left" w:pos="1680"/>
        </w:tabs>
        <w:ind w:left="1680" w:hanging="420"/>
      </w:pPr>
    </w:lvl>
    <w:lvl w:ilvl="4" w:tentative="1">
      <w:start w:val="1"/>
      <w:numFmt w:val="lowerLetter"/>
      <w:lvlText w:val="%5)"/>
      <w:lvlJc w:val="left"/>
      <w:pPr>
        <w:tabs>
          <w:tab w:val="left" w:pos="2100"/>
        </w:tabs>
        <w:ind w:left="2100" w:hanging="420"/>
      </w:pPr>
    </w:lvl>
    <w:lvl w:ilvl="5" w:tentative="1">
      <w:start w:val="1"/>
      <w:numFmt w:val="lowerRoman"/>
      <w:lvlText w:val="%6."/>
      <w:lvlJc w:val="right"/>
      <w:pPr>
        <w:tabs>
          <w:tab w:val="left" w:pos="2520"/>
        </w:tabs>
        <w:ind w:left="2520" w:hanging="420"/>
      </w:pPr>
    </w:lvl>
    <w:lvl w:ilvl="6" w:tentative="1">
      <w:start w:val="1"/>
      <w:numFmt w:val="decimal"/>
      <w:lvlText w:val="%7."/>
      <w:lvlJc w:val="left"/>
      <w:pPr>
        <w:tabs>
          <w:tab w:val="left" w:pos="2940"/>
        </w:tabs>
        <w:ind w:left="2940" w:hanging="420"/>
      </w:pPr>
    </w:lvl>
    <w:lvl w:ilvl="7" w:tentative="1">
      <w:start w:val="1"/>
      <w:numFmt w:val="lowerLetter"/>
      <w:lvlText w:val="%8)"/>
      <w:lvlJc w:val="left"/>
      <w:pPr>
        <w:tabs>
          <w:tab w:val="left" w:pos="3360"/>
        </w:tabs>
        <w:ind w:left="3360" w:hanging="420"/>
      </w:pPr>
    </w:lvl>
    <w:lvl w:ilvl="8" w:tentative="1">
      <w:start w:val="1"/>
      <w:numFmt w:val="lowerRoman"/>
      <w:lvlText w:val="%9."/>
      <w:lvlJc w:val="right"/>
      <w:pPr>
        <w:tabs>
          <w:tab w:val="left" w:pos="3780"/>
        </w:tabs>
        <w:ind w:left="3780" w:hanging="420"/>
      </w:pPr>
    </w:lvl>
  </w:abstractNum>
  <w:abstractNum w:abstractNumId="42170675">
    <w:nsid w:val="02837933"/>
    <w:multiLevelType w:val="multilevel"/>
    <w:tmpl w:val="02837933"/>
    <w:lvl w:ilvl="0" w:tentative="1">
      <w:start w:val="1"/>
      <w:numFmt w:val="decimal"/>
      <w:pStyle w:val="48"/>
      <w:lvlText w:val="[%1]"/>
      <w:lvlJc w:val="left"/>
      <w:pPr>
        <w:tabs>
          <w:tab w:val="left" w:pos="1646"/>
        </w:tabs>
        <w:ind w:left="1646" w:hanging="648"/>
      </w:pPr>
    </w:lvl>
    <w:lvl w:ilvl="1" w:tentative="1">
      <w:start w:val="1"/>
      <w:numFmt w:val="lowerLetter"/>
      <w:lvlText w:val="%2)"/>
      <w:lvlJc w:val="left"/>
      <w:pPr>
        <w:tabs>
          <w:tab w:val="left" w:pos="1838"/>
        </w:tabs>
        <w:ind w:left="1838" w:hanging="420"/>
      </w:pPr>
    </w:lvl>
    <w:lvl w:ilvl="2" w:tentative="1">
      <w:start w:val="1"/>
      <w:numFmt w:val="lowerRoman"/>
      <w:lvlText w:val="%3."/>
      <w:lvlJc w:val="right"/>
      <w:pPr>
        <w:tabs>
          <w:tab w:val="left" w:pos="2258"/>
        </w:tabs>
        <w:ind w:left="2258" w:hanging="420"/>
      </w:pPr>
    </w:lvl>
    <w:lvl w:ilvl="3" w:tentative="1">
      <w:start w:val="1"/>
      <w:numFmt w:val="decimal"/>
      <w:lvlText w:val="%4."/>
      <w:lvlJc w:val="left"/>
      <w:pPr>
        <w:tabs>
          <w:tab w:val="left" w:pos="2678"/>
        </w:tabs>
        <w:ind w:left="2678" w:hanging="420"/>
      </w:pPr>
    </w:lvl>
    <w:lvl w:ilvl="4" w:tentative="1">
      <w:start w:val="1"/>
      <w:numFmt w:val="lowerLetter"/>
      <w:lvlText w:val="%5)"/>
      <w:lvlJc w:val="left"/>
      <w:pPr>
        <w:tabs>
          <w:tab w:val="left" w:pos="3098"/>
        </w:tabs>
        <w:ind w:left="3098" w:hanging="420"/>
      </w:pPr>
    </w:lvl>
    <w:lvl w:ilvl="5" w:tentative="1">
      <w:start w:val="1"/>
      <w:numFmt w:val="lowerRoman"/>
      <w:lvlText w:val="%6."/>
      <w:lvlJc w:val="right"/>
      <w:pPr>
        <w:tabs>
          <w:tab w:val="left" w:pos="3518"/>
        </w:tabs>
        <w:ind w:left="3518" w:hanging="420"/>
      </w:pPr>
    </w:lvl>
    <w:lvl w:ilvl="6" w:tentative="1">
      <w:start w:val="1"/>
      <w:numFmt w:val="decimal"/>
      <w:lvlText w:val="%7."/>
      <w:lvlJc w:val="left"/>
      <w:pPr>
        <w:tabs>
          <w:tab w:val="left" w:pos="3938"/>
        </w:tabs>
        <w:ind w:left="3938" w:hanging="420"/>
      </w:pPr>
    </w:lvl>
    <w:lvl w:ilvl="7" w:tentative="1">
      <w:start w:val="1"/>
      <w:numFmt w:val="lowerLetter"/>
      <w:lvlText w:val="%8)"/>
      <w:lvlJc w:val="left"/>
      <w:pPr>
        <w:tabs>
          <w:tab w:val="left" w:pos="4358"/>
        </w:tabs>
        <w:ind w:left="4358" w:hanging="420"/>
      </w:pPr>
    </w:lvl>
    <w:lvl w:ilvl="8" w:tentative="1">
      <w:start w:val="1"/>
      <w:numFmt w:val="lowerRoman"/>
      <w:lvlText w:val="%9."/>
      <w:lvlJc w:val="right"/>
      <w:pPr>
        <w:tabs>
          <w:tab w:val="left" w:pos="4778"/>
        </w:tabs>
        <w:ind w:left="4778" w:hanging="420"/>
      </w:pPr>
    </w:lvl>
  </w:abstractNum>
  <w:abstractNum w:abstractNumId="1827282981">
    <w:nsid w:val="6CEA2025"/>
    <w:multiLevelType w:val="multilevel"/>
    <w:tmpl w:val="6CEA2025"/>
    <w:lvl w:ilvl="0" w:tentative="1">
      <w:start w:val="1"/>
      <w:numFmt w:val="none"/>
      <w:pStyle w:val="129"/>
      <w:suff w:val="nothing"/>
      <w:lvlText w:val="%1"/>
      <w:lvlJc w:val="left"/>
      <w:pPr>
        <w:ind w:left="0" w:firstLine="0"/>
      </w:pPr>
      <w:rPr>
        <w:rFonts w:hint="eastAsia"/>
      </w:rPr>
    </w:lvl>
    <w:lvl w:ilvl="1" w:tentative="1">
      <w:start w:val="1"/>
      <w:numFmt w:val="decimal"/>
      <w:pStyle w:val="83"/>
      <w:suff w:val="nothing"/>
      <w:lvlText w:val="%1%2　"/>
      <w:lvlJc w:val="left"/>
      <w:pPr>
        <w:ind w:left="0" w:firstLine="0"/>
      </w:pPr>
      <w:rPr>
        <w:rFonts w:hint="eastAsia" w:ascii="黑体" w:eastAsia="黑体"/>
        <w:b w:val="0"/>
        <w:i w:val="0"/>
        <w:sz w:val="21"/>
      </w:rPr>
    </w:lvl>
    <w:lvl w:ilvl="2" w:tentative="1">
      <w:start w:val="1"/>
      <w:numFmt w:val="decimal"/>
      <w:pStyle w:val="84"/>
      <w:suff w:val="nothing"/>
      <w:lvlText w:val="%1%2.%3　"/>
      <w:lvlJc w:val="left"/>
      <w:pPr>
        <w:ind w:left="1135" w:firstLine="0"/>
      </w:pPr>
      <w:rPr>
        <w:rFonts w:hint="eastAsia" w:ascii="黑体" w:hAnsi="Times New Roman" w:eastAsia="黑体" w:cs="Times New Roman"/>
        <w:b w:val="0"/>
        <w:bCs w:val="0"/>
        <w:i w:val="0"/>
        <w:iCs w:val="0"/>
        <w:caps w:val="0"/>
        <w:smallCaps w:val="0"/>
        <w:strike w:val="0"/>
        <w:dstrike w:val="0"/>
        <w:color w:val="000000"/>
        <w:spacing w:val="0"/>
        <w:kern w:val="0"/>
        <w:position w:val="0"/>
        <w:sz w:val="21"/>
        <w:u w:val="none"/>
      </w:rPr>
    </w:lvl>
    <w:lvl w:ilvl="3" w:tentative="1">
      <w:start w:val="1"/>
      <w:numFmt w:val="decimal"/>
      <w:pStyle w:val="49"/>
      <w:suff w:val="nothing"/>
      <w:lvlText w:val="%1%2.%3.%4　"/>
      <w:lvlJc w:val="left"/>
      <w:pPr>
        <w:ind w:left="851" w:firstLine="0"/>
      </w:pPr>
      <w:rPr>
        <w:rFonts w:hint="eastAsia" w:ascii="黑体" w:eastAsia="黑体"/>
        <w:b w:val="0"/>
        <w:i w:val="0"/>
        <w:sz w:val="21"/>
      </w:rPr>
    </w:lvl>
    <w:lvl w:ilvl="4" w:tentative="1">
      <w:start w:val="1"/>
      <w:numFmt w:val="decimal"/>
      <w:pStyle w:val="76"/>
      <w:suff w:val="nothing"/>
      <w:lvlText w:val="%1%2.%3.%4.%5　"/>
      <w:lvlJc w:val="left"/>
      <w:pPr>
        <w:ind w:left="0" w:firstLine="0"/>
      </w:pPr>
      <w:rPr>
        <w:rFonts w:hint="eastAsia" w:ascii="黑体" w:eastAsia="黑体"/>
        <w:b w:val="0"/>
        <w:i w:val="0"/>
        <w:sz w:val="21"/>
      </w:rPr>
    </w:lvl>
    <w:lvl w:ilvl="5" w:tentative="1">
      <w:start w:val="1"/>
      <w:numFmt w:val="decimal"/>
      <w:pStyle w:val="79"/>
      <w:suff w:val="nothing"/>
      <w:lvlText w:val="%1%2.%3.%4.%5.%6　"/>
      <w:lvlJc w:val="left"/>
      <w:pPr>
        <w:ind w:left="0" w:firstLine="0"/>
      </w:pPr>
      <w:rPr>
        <w:rFonts w:hint="eastAsia" w:ascii="黑体" w:eastAsia="黑体"/>
        <w:b w:val="0"/>
        <w:i w:val="0"/>
        <w:sz w:val="21"/>
      </w:rPr>
    </w:lvl>
    <w:lvl w:ilvl="6" w:tentative="1">
      <w:start w:val="1"/>
      <w:numFmt w:val="decimal"/>
      <w:pStyle w:val="82"/>
      <w:suff w:val="nothing"/>
      <w:lvlText w:val="%1%2.%3.%4.%5.%6.%7　"/>
      <w:lvlJc w:val="left"/>
      <w:pPr>
        <w:ind w:left="0" w:firstLine="0"/>
      </w:pPr>
      <w:rPr>
        <w:rFonts w:hint="eastAsia" w:ascii="黑体" w:eastAsia="黑体"/>
        <w:b w:val="0"/>
        <w:i w:val="0"/>
        <w:sz w:val="21"/>
      </w:rPr>
    </w:lvl>
    <w:lvl w:ilvl="7" w:tentative="1">
      <w:start w:val="1"/>
      <w:numFmt w:val="decimal"/>
      <w:lvlText w:val="%1.%2.%3.%4.%5.%6.%7.%8"/>
      <w:lvlJc w:val="left"/>
      <w:pPr>
        <w:tabs>
          <w:tab w:val="left" w:pos="4351"/>
        </w:tabs>
        <w:ind w:left="3969" w:hanging="1418"/>
      </w:pPr>
      <w:rPr>
        <w:rFonts w:hint="eastAsia"/>
      </w:rPr>
    </w:lvl>
    <w:lvl w:ilvl="8" w:tentative="1">
      <w:start w:val="1"/>
      <w:numFmt w:val="decimal"/>
      <w:lvlText w:val="%1.%2.%3.%4.%5.%6.%7.%8.%9"/>
      <w:lvlJc w:val="left"/>
      <w:pPr>
        <w:tabs>
          <w:tab w:val="left" w:pos="4777"/>
        </w:tabs>
        <w:ind w:left="4677" w:hanging="1700"/>
      </w:pPr>
      <w:rPr>
        <w:rFonts w:hint="eastAsia"/>
      </w:rPr>
    </w:lvl>
  </w:abstractNum>
  <w:abstractNum w:abstractNumId="1844666137">
    <w:nsid w:val="6DF35F19"/>
    <w:multiLevelType w:val="multilevel"/>
    <w:tmpl w:val="6DF35F19"/>
    <w:lvl w:ilvl="0" w:tentative="1">
      <w:start w:val="1"/>
      <w:numFmt w:val="decimal"/>
      <w:pStyle w:val="94"/>
      <w:suff w:val="nothing"/>
      <w:lvlText w:val="Table %1　"/>
      <w:lvlJc w:val="left"/>
      <w:pPr>
        <w:ind w:left="0" w:firstLine="0"/>
      </w:pPr>
    </w:lvl>
    <w:lvl w:ilvl="1" w:tentative="1">
      <w:start w:val="1"/>
      <w:numFmt w:val="decimal"/>
      <w:suff w:val="nothing"/>
      <w:lvlText w:val="%1%2　"/>
      <w:lvlJc w:val="left"/>
      <w:pPr>
        <w:ind w:left="0" w:firstLine="0"/>
      </w:pPr>
    </w:lvl>
    <w:lvl w:ilvl="2" w:tentative="1">
      <w:start w:val="1"/>
      <w:numFmt w:val="decimal"/>
      <w:suff w:val="nothing"/>
      <w:lvlText w:val="%1%2.%3　"/>
      <w:lvlJc w:val="left"/>
      <w:pPr>
        <w:ind w:left="0" w:firstLine="0"/>
      </w:pPr>
    </w:lvl>
    <w:lvl w:ilvl="3" w:tentative="1">
      <w:start w:val="1"/>
      <w:numFmt w:val="decimal"/>
      <w:suff w:val="nothing"/>
      <w:lvlText w:val="%1%2.%3.%4　"/>
      <w:lvlJc w:val="left"/>
      <w:pPr>
        <w:ind w:left="0" w:firstLine="0"/>
      </w:pPr>
    </w:lvl>
    <w:lvl w:ilvl="4" w:tentative="1">
      <w:start w:val="1"/>
      <w:numFmt w:val="decimal"/>
      <w:suff w:val="nothing"/>
      <w:lvlText w:val="%1%2.%3.%4.%5　"/>
      <w:lvlJc w:val="left"/>
      <w:pPr>
        <w:ind w:left="0" w:firstLine="0"/>
      </w:pPr>
    </w:lvl>
    <w:lvl w:ilvl="5" w:tentative="1">
      <w:start w:val="1"/>
      <w:numFmt w:val="decimal"/>
      <w:suff w:val="nothing"/>
      <w:lvlText w:val="%1%2.%3.%4.%5.%6　"/>
      <w:lvlJc w:val="left"/>
      <w:pPr>
        <w:ind w:left="0" w:firstLine="0"/>
      </w:pPr>
    </w:lvl>
    <w:lvl w:ilvl="6" w:tentative="1">
      <w:start w:val="1"/>
      <w:numFmt w:val="decimal"/>
      <w:suff w:val="nothing"/>
      <w:lvlText w:val="%1%2.%3.%4.%5.%6.%7　"/>
      <w:lvlJc w:val="left"/>
      <w:pPr>
        <w:ind w:left="0" w:firstLine="0"/>
      </w:pPr>
    </w:lvl>
    <w:lvl w:ilvl="7" w:tentative="1">
      <w:start w:val="1"/>
      <w:numFmt w:val="decimal"/>
      <w:lvlText w:val="%1.%2.%3.%4.%5.%6.%7.%8"/>
      <w:lvlJc w:val="left"/>
      <w:pPr>
        <w:tabs>
          <w:tab w:val="left" w:pos="4348"/>
        </w:tabs>
        <w:ind w:left="3969" w:hanging="1418"/>
      </w:pPr>
    </w:lvl>
    <w:lvl w:ilvl="8" w:tentative="1">
      <w:start w:val="1"/>
      <w:numFmt w:val="decimal"/>
      <w:lvlText w:val="%1.%2.%3.%4.%5.%6.%7.%8.%9"/>
      <w:lvlJc w:val="left"/>
      <w:pPr>
        <w:tabs>
          <w:tab w:val="left" w:pos="4774"/>
        </w:tabs>
        <w:ind w:left="4677" w:hanging="1701"/>
      </w:pPr>
    </w:lvl>
  </w:abstractNum>
  <w:abstractNum w:abstractNumId="1989358388">
    <w:nsid w:val="76933334"/>
    <w:multiLevelType w:val="multilevel"/>
    <w:tmpl w:val="76933334"/>
    <w:lvl w:ilvl="0" w:tentative="1">
      <w:start w:val="1"/>
      <w:numFmt w:val="none"/>
      <w:pStyle w:val="116"/>
      <w:lvlText w:val="%1——"/>
      <w:lvlJc w:val="left"/>
      <w:pPr>
        <w:tabs>
          <w:tab w:val="left" w:pos="330"/>
        </w:tabs>
        <w:ind w:left="948" w:hanging="420"/>
      </w:pPr>
    </w:lvl>
    <w:lvl w:ilvl="1" w:tentative="1">
      <w:start w:val="1"/>
      <w:numFmt w:val="lowerLetter"/>
      <w:lvlText w:val="%2)"/>
      <w:lvlJc w:val="left"/>
      <w:pPr>
        <w:tabs>
          <w:tab w:val="left" w:pos="840"/>
        </w:tabs>
        <w:ind w:left="840" w:hanging="420"/>
      </w:pPr>
    </w:lvl>
    <w:lvl w:ilvl="2" w:tentative="1">
      <w:start w:val="1"/>
      <w:numFmt w:val="lowerRoman"/>
      <w:lvlText w:val="%3."/>
      <w:lvlJc w:val="right"/>
      <w:pPr>
        <w:tabs>
          <w:tab w:val="left" w:pos="1260"/>
        </w:tabs>
        <w:ind w:left="1260" w:hanging="420"/>
      </w:pPr>
    </w:lvl>
    <w:lvl w:ilvl="3" w:tentative="1">
      <w:start w:val="1"/>
      <w:numFmt w:val="decimal"/>
      <w:lvlText w:val="%4."/>
      <w:lvlJc w:val="left"/>
      <w:pPr>
        <w:tabs>
          <w:tab w:val="left" w:pos="1680"/>
        </w:tabs>
        <w:ind w:left="1680" w:hanging="420"/>
      </w:pPr>
    </w:lvl>
    <w:lvl w:ilvl="4" w:tentative="1">
      <w:start w:val="1"/>
      <w:numFmt w:val="lowerLetter"/>
      <w:lvlText w:val="%5)"/>
      <w:lvlJc w:val="left"/>
      <w:pPr>
        <w:tabs>
          <w:tab w:val="left" w:pos="2100"/>
        </w:tabs>
        <w:ind w:left="2100" w:hanging="420"/>
      </w:pPr>
    </w:lvl>
    <w:lvl w:ilvl="5" w:tentative="1">
      <w:start w:val="1"/>
      <w:numFmt w:val="lowerRoman"/>
      <w:lvlText w:val="%6."/>
      <w:lvlJc w:val="right"/>
      <w:pPr>
        <w:tabs>
          <w:tab w:val="left" w:pos="2520"/>
        </w:tabs>
        <w:ind w:left="2520" w:hanging="420"/>
      </w:pPr>
    </w:lvl>
    <w:lvl w:ilvl="6" w:tentative="1">
      <w:start w:val="1"/>
      <w:numFmt w:val="decimal"/>
      <w:lvlText w:val="%7."/>
      <w:lvlJc w:val="left"/>
      <w:pPr>
        <w:tabs>
          <w:tab w:val="left" w:pos="2940"/>
        </w:tabs>
        <w:ind w:left="2940" w:hanging="420"/>
      </w:pPr>
    </w:lvl>
    <w:lvl w:ilvl="7" w:tentative="1">
      <w:start w:val="1"/>
      <w:numFmt w:val="lowerLetter"/>
      <w:lvlText w:val="%8)"/>
      <w:lvlJc w:val="left"/>
      <w:pPr>
        <w:tabs>
          <w:tab w:val="left" w:pos="3360"/>
        </w:tabs>
        <w:ind w:left="3360" w:hanging="420"/>
      </w:pPr>
    </w:lvl>
    <w:lvl w:ilvl="8" w:tentative="1">
      <w:start w:val="1"/>
      <w:numFmt w:val="lowerRoman"/>
      <w:lvlText w:val="%9."/>
      <w:lvlJc w:val="right"/>
      <w:pPr>
        <w:tabs>
          <w:tab w:val="left" w:pos="3780"/>
        </w:tabs>
        <w:ind w:left="3780" w:hanging="420"/>
      </w:pPr>
    </w:lvl>
  </w:abstractNum>
  <w:abstractNum w:abstractNumId="1766877887">
    <w:nsid w:val="69506ABF"/>
    <w:multiLevelType w:val="multilevel"/>
    <w:tmpl w:val="69506ABF"/>
    <w:lvl w:ilvl="0" w:tentative="1">
      <w:start w:val="1"/>
      <w:numFmt w:val="bullet"/>
      <w:pStyle w:val="163"/>
      <w:lvlText w:val=""/>
      <w:lvlJc w:val="left"/>
      <w:pPr>
        <w:ind w:left="851" w:firstLine="0"/>
      </w:pPr>
      <w:rPr>
        <w:rFonts w:hint="default" w:ascii="Wingdings" w:hAnsi="Wingdings"/>
        <w:color w:val="auto"/>
      </w:rPr>
    </w:lvl>
    <w:lvl w:ilvl="1" w:tentative="1">
      <w:start w:val="1"/>
      <w:numFmt w:val="lowerLetter"/>
      <w:lvlText w:val="%2)"/>
      <w:lvlJc w:val="left"/>
      <w:pPr>
        <w:ind w:left="1040" w:hanging="420"/>
      </w:pPr>
      <w:rPr>
        <w:rFonts w:hint="eastAsia"/>
      </w:rPr>
    </w:lvl>
    <w:lvl w:ilvl="2" w:tentative="1">
      <w:start w:val="1"/>
      <w:numFmt w:val="lowerRoman"/>
      <w:lvlText w:val="%3."/>
      <w:lvlJc w:val="right"/>
      <w:pPr>
        <w:ind w:left="1460" w:hanging="420"/>
      </w:pPr>
      <w:rPr>
        <w:rFonts w:hint="eastAsia"/>
      </w:rPr>
    </w:lvl>
    <w:lvl w:ilvl="3" w:tentative="1">
      <w:start w:val="1"/>
      <w:numFmt w:val="decimal"/>
      <w:lvlText w:val="%4."/>
      <w:lvlJc w:val="left"/>
      <w:pPr>
        <w:ind w:left="1880" w:hanging="420"/>
      </w:pPr>
      <w:rPr>
        <w:rFonts w:hint="eastAsia"/>
      </w:rPr>
    </w:lvl>
    <w:lvl w:ilvl="4" w:tentative="1">
      <w:start w:val="1"/>
      <w:numFmt w:val="lowerLetter"/>
      <w:lvlText w:val="%5)"/>
      <w:lvlJc w:val="left"/>
      <w:pPr>
        <w:ind w:left="2300" w:hanging="420"/>
      </w:pPr>
      <w:rPr>
        <w:rFonts w:hint="eastAsia"/>
      </w:rPr>
    </w:lvl>
    <w:lvl w:ilvl="5" w:tentative="1">
      <w:start w:val="1"/>
      <w:numFmt w:val="lowerRoman"/>
      <w:lvlText w:val="%6."/>
      <w:lvlJc w:val="right"/>
      <w:pPr>
        <w:ind w:left="2720" w:hanging="420"/>
      </w:pPr>
      <w:rPr>
        <w:rFonts w:hint="eastAsia"/>
      </w:rPr>
    </w:lvl>
    <w:lvl w:ilvl="6" w:tentative="1">
      <w:start w:val="1"/>
      <w:numFmt w:val="decimal"/>
      <w:lvlText w:val="%7."/>
      <w:lvlJc w:val="left"/>
      <w:pPr>
        <w:ind w:left="3140" w:hanging="420"/>
      </w:pPr>
      <w:rPr>
        <w:rFonts w:hint="eastAsia"/>
      </w:rPr>
    </w:lvl>
    <w:lvl w:ilvl="7" w:tentative="1">
      <w:start w:val="1"/>
      <w:numFmt w:val="lowerLetter"/>
      <w:lvlText w:val="%8)"/>
      <w:lvlJc w:val="left"/>
      <w:pPr>
        <w:ind w:left="3560" w:hanging="420"/>
      </w:pPr>
      <w:rPr>
        <w:rFonts w:hint="eastAsia"/>
      </w:rPr>
    </w:lvl>
    <w:lvl w:ilvl="8" w:tentative="1">
      <w:start w:val="1"/>
      <w:numFmt w:val="lowerRoman"/>
      <w:lvlText w:val="%9."/>
      <w:lvlJc w:val="right"/>
      <w:pPr>
        <w:ind w:left="3980" w:hanging="420"/>
      </w:pPr>
      <w:rPr>
        <w:rFonts w:hint="eastAsia"/>
      </w:rPr>
    </w:lvl>
  </w:abstractNum>
  <w:abstractNum w:abstractNumId="1447895177">
    <w:nsid w:val="564D2089"/>
    <w:multiLevelType w:val="multilevel"/>
    <w:tmpl w:val="564D2089"/>
    <w:lvl w:ilvl="0" w:tentative="1">
      <w:start w:val="1"/>
      <w:numFmt w:val="none"/>
      <w:pStyle w:val="90"/>
      <w:lvlText w:val="%1注"/>
      <w:lvlJc w:val="left"/>
      <w:pPr>
        <w:tabs>
          <w:tab w:val="left" w:pos="760"/>
        </w:tabs>
        <w:ind w:left="760" w:hanging="284"/>
      </w:pPr>
    </w:lvl>
    <w:lvl w:ilvl="1" w:tentative="1">
      <w:start w:val="1"/>
      <w:numFmt w:val="lowerLetter"/>
      <w:lvlText w:val="%2)"/>
      <w:lvlJc w:val="left"/>
      <w:pPr>
        <w:tabs>
          <w:tab w:val="left" w:pos="840"/>
        </w:tabs>
        <w:ind w:left="840" w:hanging="420"/>
      </w:pPr>
    </w:lvl>
    <w:lvl w:ilvl="2" w:tentative="1">
      <w:start w:val="1"/>
      <w:numFmt w:val="lowerRoman"/>
      <w:lvlText w:val="%3."/>
      <w:lvlJc w:val="right"/>
      <w:pPr>
        <w:tabs>
          <w:tab w:val="left" w:pos="1260"/>
        </w:tabs>
        <w:ind w:left="1260" w:hanging="420"/>
      </w:pPr>
    </w:lvl>
    <w:lvl w:ilvl="3" w:tentative="1">
      <w:start w:val="1"/>
      <w:numFmt w:val="decimal"/>
      <w:lvlText w:val="%4."/>
      <w:lvlJc w:val="left"/>
      <w:pPr>
        <w:tabs>
          <w:tab w:val="left" w:pos="1680"/>
        </w:tabs>
        <w:ind w:left="1680" w:hanging="420"/>
      </w:pPr>
    </w:lvl>
    <w:lvl w:ilvl="4" w:tentative="1">
      <w:start w:val="1"/>
      <w:numFmt w:val="lowerLetter"/>
      <w:lvlText w:val="%5)"/>
      <w:lvlJc w:val="left"/>
      <w:pPr>
        <w:tabs>
          <w:tab w:val="left" w:pos="2100"/>
        </w:tabs>
        <w:ind w:left="2100" w:hanging="420"/>
      </w:pPr>
    </w:lvl>
    <w:lvl w:ilvl="5" w:tentative="1">
      <w:start w:val="1"/>
      <w:numFmt w:val="lowerRoman"/>
      <w:lvlText w:val="%6."/>
      <w:lvlJc w:val="right"/>
      <w:pPr>
        <w:tabs>
          <w:tab w:val="left" w:pos="2520"/>
        </w:tabs>
        <w:ind w:left="2520" w:hanging="420"/>
      </w:pPr>
    </w:lvl>
    <w:lvl w:ilvl="6" w:tentative="1">
      <w:start w:val="1"/>
      <w:numFmt w:val="decimal"/>
      <w:lvlText w:val="%7."/>
      <w:lvlJc w:val="left"/>
      <w:pPr>
        <w:tabs>
          <w:tab w:val="left" w:pos="2940"/>
        </w:tabs>
        <w:ind w:left="2940" w:hanging="420"/>
      </w:pPr>
    </w:lvl>
    <w:lvl w:ilvl="7" w:tentative="1">
      <w:start w:val="1"/>
      <w:numFmt w:val="lowerLetter"/>
      <w:lvlText w:val="%8)"/>
      <w:lvlJc w:val="left"/>
      <w:pPr>
        <w:tabs>
          <w:tab w:val="left" w:pos="3360"/>
        </w:tabs>
        <w:ind w:left="3360" w:hanging="420"/>
      </w:pPr>
    </w:lvl>
    <w:lvl w:ilvl="8" w:tentative="1">
      <w:start w:val="1"/>
      <w:numFmt w:val="lowerRoman"/>
      <w:lvlText w:val="%9."/>
      <w:lvlJc w:val="right"/>
      <w:pPr>
        <w:tabs>
          <w:tab w:val="left" w:pos="3780"/>
        </w:tabs>
        <w:ind w:left="3780" w:hanging="420"/>
      </w:pPr>
    </w:lvl>
  </w:abstractNum>
  <w:abstractNum w:abstractNumId="449974160">
    <w:nsid w:val="1AD20F90"/>
    <w:multiLevelType w:val="multilevel"/>
    <w:tmpl w:val="1AD20F90"/>
    <w:lvl w:ilvl="0" w:tentative="1">
      <w:start w:val="1"/>
      <w:numFmt w:val="none"/>
      <w:pStyle w:val="89"/>
      <w:lvlText w:val="%1注："/>
      <w:lvlJc w:val="left"/>
      <w:pPr>
        <w:tabs>
          <w:tab w:val="left" w:pos="845"/>
        </w:tabs>
        <w:ind w:left="-102" w:firstLine="419"/>
      </w:pPr>
    </w:lvl>
    <w:lvl w:ilvl="1" w:tentative="1">
      <w:start w:val="1"/>
      <w:numFmt w:val="lowerLetter"/>
      <w:lvlText w:val="%2)"/>
      <w:lvlJc w:val="left"/>
      <w:pPr>
        <w:tabs>
          <w:tab w:val="left" w:pos="840"/>
        </w:tabs>
        <w:ind w:left="840" w:hanging="420"/>
      </w:pPr>
    </w:lvl>
    <w:lvl w:ilvl="2" w:tentative="1">
      <w:start w:val="1"/>
      <w:numFmt w:val="lowerRoman"/>
      <w:lvlText w:val="%3."/>
      <w:lvlJc w:val="right"/>
      <w:pPr>
        <w:tabs>
          <w:tab w:val="left" w:pos="1260"/>
        </w:tabs>
        <w:ind w:left="1260" w:hanging="420"/>
      </w:pPr>
    </w:lvl>
    <w:lvl w:ilvl="3" w:tentative="1">
      <w:start w:val="1"/>
      <w:numFmt w:val="decimal"/>
      <w:lvlText w:val="%4."/>
      <w:lvlJc w:val="left"/>
      <w:pPr>
        <w:tabs>
          <w:tab w:val="left" w:pos="1680"/>
        </w:tabs>
        <w:ind w:left="1680" w:hanging="420"/>
      </w:pPr>
    </w:lvl>
    <w:lvl w:ilvl="4" w:tentative="1">
      <w:start w:val="1"/>
      <w:numFmt w:val="lowerLetter"/>
      <w:lvlText w:val="%5)"/>
      <w:lvlJc w:val="left"/>
      <w:pPr>
        <w:tabs>
          <w:tab w:val="left" w:pos="2100"/>
        </w:tabs>
        <w:ind w:left="2100" w:hanging="420"/>
      </w:pPr>
    </w:lvl>
    <w:lvl w:ilvl="5" w:tentative="1">
      <w:start w:val="1"/>
      <w:numFmt w:val="lowerRoman"/>
      <w:lvlText w:val="%6."/>
      <w:lvlJc w:val="right"/>
      <w:pPr>
        <w:tabs>
          <w:tab w:val="left" w:pos="2520"/>
        </w:tabs>
        <w:ind w:left="2520" w:hanging="420"/>
      </w:pPr>
    </w:lvl>
    <w:lvl w:ilvl="6" w:tentative="1">
      <w:start w:val="1"/>
      <w:numFmt w:val="decimal"/>
      <w:lvlText w:val="%7."/>
      <w:lvlJc w:val="left"/>
      <w:pPr>
        <w:tabs>
          <w:tab w:val="left" w:pos="2940"/>
        </w:tabs>
        <w:ind w:left="2940" w:hanging="420"/>
      </w:pPr>
    </w:lvl>
    <w:lvl w:ilvl="7" w:tentative="1">
      <w:start w:val="1"/>
      <w:numFmt w:val="lowerLetter"/>
      <w:lvlText w:val="%8)"/>
      <w:lvlJc w:val="left"/>
      <w:pPr>
        <w:tabs>
          <w:tab w:val="left" w:pos="3360"/>
        </w:tabs>
        <w:ind w:left="3360" w:hanging="420"/>
      </w:pPr>
    </w:lvl>
    <w:lvl w:ilvl="8" w:tentative="1">
      <w:start w:val="1"/>
      <w:numFmt w:val="lowerRoman"/>
      <w:lvlText w:val="%9."/>
      <w:lvlJc w:val="right"/>
      <w:pPr>
        <w:tabs>
          <w:tab w:val="left" w:pos="3780"/>
        </w:tabs>
        <w:ind w:left="3780" w:hanging="420"/>
      </w:pPr>
    </w:lvl>
  </w:abstractNum>
  <w:abstractNum w:abstractNumId="1314719028">
    <w:nsid w:val="4E5D0534"/>
    <w:multiLevelType w:val="multilevel"/>
    <w:tmpl w:val="4E5D0534"/>
    <w:lvl w:ilvl="0" w:tentative="1">
      <w:start w:val="1"/>
      <w:numFmt w:val="decimal"/>
      <w:pStyle w:val="95"/>
      <w:suff w:val="nothing"/>
      <w:lvlText w:val="Figure %1　"/>
      <w:lvlJc w:val="left"/>
      <w:pPr>
        <w:ind w:left="0" w:firstLine="0"/>
      </w:pPr>
    </w:lvl>
    <w:lvl w:ilvl="1" w:tentative="1">
      <w:start w:val="1"/>
      <w:numFmt w:val="decimal"/>
      <w:suff w:val="nothing"/>
      <w:lvlText w:val="%1%2　"/>
      <w:lvlJc w:val="left"/>
      <w:pPr>
        <w:ind w:left="0" w:firstLine="0"/>
      </w:pPr>
    </w:lvl>
    <w:lvl w:ilvl="2" w:tentative="1">
      <w:start w:val="1"/>
      <w:numFmt w:val="decimal"/>
      <w:suff w:val="nothing"/>
      <w:lvlText w:val="%1%2.%3　"/>
      <w:lvlJc w:val="left"/>
      <w:pPr>
        <w:ind w:left="0" w:firstLine="0"/>
      </w:pPr>
    </w:lvl>
    <w:lvl w:ilvl="3" w:tentative="1">
      <w:start w:val="1"/>
      <w:numFmt w:val="decimal"/>
      <w:suff w:val="nothing"/>
      <w:lvlText w:val="%1%2.%3.%4　"/>
      <w:lvlJc w:val="left"/>
      <w:pPr>
        <w:ind w:left="0" w:firstLine="0"/>
      </w:pPr>
    </w:lvl>
    <w:lvl w:ilvl="4" w:tentative="1">
      <w:start w:val="1"/>
      <w:numFmt w:val="decimal"/>
      <w:suff w:val="nothing"/>
      <w:lvlText w:val="%1%2.%3.%4.%5　"/>
      <w:lvlJc w:val="left"/>
      <w:pPr>
        <w:ind w:left="0" w:firstLine="0"/>
      </w:pPr>
    </w:lvl>
    <w:lvl w:ilvl="5" w:tentative="1">
      <w:start w:val="1"/>
      <w:numFmt w:val="decimal"/>
      <w:suff w:val="nothing"/>
      <w:lvlText w:val="%1%2.%3.%4.%5.%6　"/>
      <w:lvlJc w:val="left"/>
      <w:pPr>
        <w:ind w:left="0" w:firstLine="0"/>
      </w:pPr>
    </w:lvl>
    <w:lvl w:ilvl="6" w:tentative="1">
      <w:start w:val="1"/>
      <w:numFmt w:val="decimal"/>
      <w:suff w:val="nothing"/>
      <w:lvlText w:val="%1%2.%3.%4.%5.%6.%7　"/>
      <w:lvlJc w:val="left"/>
      <w:pPr>
        <w:ind w:left="0" w:firstLine="0"/>
      </w:pPr>
    </w:lvl>
    <w:lvl w:ilvl="7" w:tentative="1">
      <w:start w:val="1"/>
      <w:numFmt w:val="decimal"/>
      <w:lvlText w:val="%1.%2.%3.%4.%5.%6.%7.%8"/>
      <w:lvlJc w:val="left"/>
      <w:pPr>
        <w:tabs>
          <w:tab w:val="left" w:pos="4348"/>
        </w:tabs>
        <w:ind w:left="3969" w:hanging="1418"/>
      </w:pPr>
    </w:lvl>
    <w:lvl w:ilvl="8" w:tentative="1">
      <w:start w:val="1"/>
      <w:numFmt w:val="decimal"/>
      <w:lvlText w:val="%1.%2.%3.%4.%5.%6.%7.%8.%9"/>
      <w:lvlJc w:val="left"/>
      <w:pPr>
        <w:tabs>
          <w:tab w:val="left" w:pos="4774"/>
        </w:tabs>
        <w:ind w:left="4677" w:hanging="1701"/>
      </w:pPr>
    </w:lvl>
  </w:abstractNum>
  <w:num w:numId="1">
    <w:abstractNumId w:val="42170675"/>
  </w:num>
  <w:num w:numId="2">
    <w:abstractNumId w:val="1827282981"/>
  </w:num>
  <w:num w:numId="3">
    <w:abstractNumId w:val="198973040"/>
  </w:num>
  <w:num w:numId="4">
    <w:abstractNumId w:val="1702707132"/>
  </w:num>
  <w:num w:numId="5">
    <w:abstractNumId w:val="1443068284"/>
  </w:num>
  <w:num w:numId="6">
    <w:abstractNumId w:val="1216359708"/>
  </w:num>
  <w:num w:numId="7">
    <w:abstractNumId w:val="452022290"/>
  </w:num>
  <w:num w:numId="8">
    <w:abstractNumId w:val="132988906"/>
  </w:num>
  <w:num w:numId="9">
    <w:abstractNumId w:val="514464146"/>
  </w:num>
  <w:num w:numId="10">
    <w:abstractNumId w:val="1415784273"/>
  </w:num>
  <w:num w:numId="11">
    <w:abstractNumId w:val="1822693765"/>
  </w:num>
  <w:num w:numId="12">
    <w:abstractNumId w:val="854609842"/>
  </w:num>
  <w:num w:numId="13">
    <w:abstractNumId w:val="1153765264"/>
  </w:num>
  <w:num w:numId="14">
    <w:abstractNumId w:val="449974160"/>
  </w:num>
  <w:num w:numId="15">
    <w:abstractNumId w:val="1447895177"/>
  </w:num>
  <w:num w:numId="16">
    <w:abstractNumId w:val="1684168954"/>
  </w:num>
  <w:num w:numId="17">
    <w:abstractNumId w:val="1434200821"/>
  </w:num>
  <w:num w:numId="18">
    <w:abstractNumId w:val="1844666137"/>
  </w:num>
  <w:num w:numId="19">
    <w:abstractNumId w:val="1314719028"/>
  </w:num>
  <w:num w:numId="20">
    <w:abstractNumId w:val="67769805"/>
  </w:num>
  <w:num w:numId="21">
    <w:abstractNumId w:val="744036291"/>
  </w:num>
  <w:num w:numId="22">
    <w:abstractNumId w:val="1989358388"/>
  </w:num>
  <w:num w:numId="23">
    <w:abstractNumId w:val="1682318073"/>
  </w:num>
  <w:num w:numId="24">
    <w:abstractNumId w:val="218439493"/>
  </w:num>
  <w:num w:numId="25">
    <w:abstractNumId w:val="1826892481"/>
  </w:num>
  <w:num w:numId="26">
    <w:abstractNumId w:val="1841235188"/>
  </w:num>
  <w:num w:numId="27">
    <w:abstractNumId w:val="126943917"/>
  </w:num>
  <w:num w:numId="28">
    <w:abstractNumId w:val="182675433"/>
  </w:num>
  <w:num w:numId="29">
    <w:abstractNumId w:val="1265842783"/>
  </w:num>
  <w:num w:numId="30">
    <w:abstractNumId w:val="1766877887"/>
  </w:num>
  <w:num w:numId="31">
    <w:abstractNumId w:val="1699358409"/>
  </w:num>
  <w:num w:numId="32">
    <w:abstractNumId w:val="1153765264"/>
    <w:lvlOverride w:ilvl="0">
      <w:startOverride w:val="1"/>
    </w:lvlOverride>
  </w:num>
  <w:num w:numId="33">
    <w:abstractNumId w:val="1153765264"/>
    <w:lvlOverride w:ilvl="0">
      <w:startOverride w:val="1"/>
    </w:lvlOverride>
  </w:num>
  <w:num w:numId="34">
    <w:abstractNumId w:val="1153765264"/>
    <w:lvlOverride w:ilvl="0">
      <w:startOverride w:val="1"/>
    </w:lvlOverride>
  </w:num>
  <w:num w:numId="35">
    <w:abstractNumId w:val="1153765264"/>
    <w:lvlOverride w:ilvl="0">
      <w:startOverride w:val="1"/>
    </w:lvlOverride>
  </w:num>
  <w:num w:numId="36">
    <w:abstractNumId w:val="1153765264"/>
    <w:lvlOverride w:ilvl="0">
      <w:startOverride w:val="1"/>
    </w:lvlOverride>
  </w:num>
  <w:num w:numId="37">
    <w:abstractNumId w:val="1153765264"/>
    <w:lvlOverride w:ilvl="0">
      <w:startOverride w:val="1"/>
    </w:lvlOverride>
  </w:num>
  <w:num w:numId="38">
    <w:abstractNumId w:val="1153765264"/>
    <w:lvlOverride w:ilvl="0">
      <w:startOverride w:val="1"/>
    </w:lvlOverride>
  </w:num>
  <w:num w:numId="39">
    <w:abstractNumId w:val="1153765264"/>
    <w:lvlOverride w:ilvl="0">
      <w:startOverride w:val="1"/>
    </w:lvlOverride>
  </w:num>
  <w:num w:numId="40">
    <w:abstractNumId w:val="1153765264"/>
    <w:lvlOverride w:ilvl="0">
      <w:startOverride w:val="1"/>
    </w:lvlOverride>
  </w:num>
  <w:num w:numId="41">
    <w:abstractNumId w:val="1153765264"/>
    <w:lvlOverride w:ilvl="0">
      <w:startOverride w:val="1"/>
    </w:lvlOverride>
  </w:num>
  <w:num w:numId="42">
    <w:abstractNumId w:val="2776617750"/>
    <w:lvlOverride w:ilvl="0">
      <w:startOverride w:val="4"/>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1"/>
  <w:bordersDoNotSurroundFooter w:val="1"/>
  <w:attachedTemplate r:id="rId1"/>
  <w:documentProtection w:edit="forms" w:enforcement="1" w:cryptProviderType="rsaAES" w:cryptAlgorithmClass="hash" w:cryptAlgorithmType="typeAny" w:cryptAlgorithmSid="14" w:cryptSpinCount="100000" w:hash="ISFKSumCAfEcaVdSrIULYqGrv6zc3PU04CaTKNyoOHXDoBZeGoFfU+vXRm+HncgH7FkDuAgMHOwM8hXqlgbbXg==" w:salt="ghLl+YJ5GiJAzmU5JUKfFg=="/>
  <w:defaultTabStop w:val="420"/>
  <w:drawingGridHorizontalSpacing w:val="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
  <w:docVars>
    <w:docVar w:name="commondata" w:val="eyJoZGlkIjoiNWViZDJlNDVkNGM2Y2U3YTZkZDU2MDAyOWUwMTgyYzUifQ=="/>
  </w:docVars>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Calibri"/>
        <w:lang w:val="en-US" w:eastAsia="zh-CN" w:bidi="ar-SA"/>
      </w:rPr>
    </w:rPrDefault>
  </w:docDefaults>
  <w:latentStyles w:count="156"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semiHidden="0" w:name="toc 3"/>
    <w:lsdException w:qFormat="1" w:uiPriority="39" w:semiHidden="0" w:name="toc 4"/>
    <w:lsdException w:uiPriority="39" w:semiHidden="0" w:name="toc 5"/>
    <w:lsdException w:qFormat="1" w:uiPriority="39" w:semiHidden="0" w:name="toc 6"/>
    <w:lsdException w:qFormat="1" w:uiPriority="39" w:semiHidden="0" w:name="toc 7"/>
    <w:lsdException w:uiPriority="0" w:name="toc 8"/>
    <w:lsdException w:uiPriority="0" w:name="toc 9"/>
    <w:lsdException w:unhideWhenUsed="0" w:uiPriority="0" w:semiHidden="0" w:name="Normal Indent"/>
    <w:lsdException w:qFormat="1" w:unhideWhenUsed="0" w:uiPriority="0" w:name="footnote text"/>
    <w:lsdException w:uiPriority="99" w:name="annotation text"/>
    <w:lsdException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annotation subject"/>
    <w:lsdException w:qFormat="1" w:uiPriority="99" w:name="Balloon Text"/>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203"/>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204"/>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205"/>
    <w:qFormat/>
    <w:uiPriority w:val="0"/>
    <w:pPr>
      <w:keepNext/>
      <w:keepLines/>
      <w:spacing w:before="260" w:after="260" w:line="416" w:lineRule="auto"/>
      <w:outlineLvl w:val="2"/>
    </w:pPr>
    <w:rPr>
      <w:b/>
      <w:bCs/>
      <w:sz w:val="32"/>
      <w:szCs w:val="32"/>
    </w:rPr>
  </w:style>
  <w:style w:type="paragraph" w:styleId="5">
    <w:name w:val="heading 4"/>
    <w:basedOn w:val="1"/>
    <w:next w:val="1"/>
    <w:link w:val="206"/>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207"/>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208"/>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209"/>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210"/>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211"/>
    <w:qFormat/>
    <w:uiPriority w:val="0"/>
    <w:pPr>
      <w:keepNext/>
      <w:keepLines/>
      <w:adjustRightInd/>
      <w:spacing w:before="240" w:after="64" w:line="320" w:lineRule="auto"/>
      <w:outlineLvl w:val="8"/>
    </w:pPr>
    <w:rPr>
      <w:rFonts w:ascii="Arial" w:hAnsi="Arial" w:eastAsia="黑体"/>
    </w:rPr>
  </w:style>
  <w:style w:type="character" w:default="1" w:styleId="26">
    <w:name w:val="Default Paragraph Font"/>
    <w:semiHidden/>
    <w:unhideWhenUsed/>
    <w:uiPriority w:val="1"/>
  </w:style>
  <w:style w:type="paragraph" w:styleId="11">
    <w:name w:val="toc 7"/>
    <w:basedOn w:val="1"/>
    <w:next w:val="1"/>
    <w:unhideWhenUsed/>
    <w:qFormat/>
    <w:uiPriority w:val="39"/>
    <w:pPr>
      <w:tabs>
        <w:tab w:val="right" w:leader="dot" w:pos="9344"/>
      </w:tabs>
      <w:spacing w:line="300" w:lineRule="exact"/>
      <w:ind w:left="1259"/>
    </w:pPr>
    <w:rPr>
      <w:rFonts w:ascii="宋体"/>
    </w:rPr>
  </w:style>
  <w:style w:type="paragraph" w:styleId="12">
    <w:name w:val="Normal Indent"/>
    <w:basedOn w:val="1"/>
    <w:uiPriority w:val="0"/>
    <w:pPr>
      <w:ind w:firstLine="420"/>
    </w:pPr>
  </w:style>
  <w:style w:type="paragraph" w:styleId="13">
    <w:name w:val="Body Text"/>
    <w:basedOn w:val="1"/>
    <w:link w:val="218"/>
    <w:qFormat/>
    <w:uiPriority w:val="0"/>
    <w:pPr>
      <w:spacing w:after="120"/>
    </w:pPr>
  </w:style>
  <w:style w:type="paragraph" w:styleId="14">
    <w:name w:val="toc 5"/>
    <w:basedOn w:val="1"/>
    <w:next w:val="1"/>
    <w:unhideWhenUsed/>
    <w:uiPriority w:val="39"/>
    <w:pPr>
      <w:ind w:left="839"/>
    </w:pPr>
    <w:rPr>
      <w:rFonts w:ascii="宋体"/>
    </w:rPr>
  </w:style>
  <w:style w:type="paragraph" w:styleId="15">
    <w:name w:val="toc 3"/>
    <w:basedOn w:val="1"/>
    <w:next w:val="1"/>
    <w:unhideWhenUsed/>
    <w:uiPriority w:val="39"/>
    <w:pPr>
      <w:spacing w:line="300" w:lineRule="exact"/>
      <w:ind w:left="420"/>
    </w:pPr>
    <w:rPr>
      <w:rFonts w:ascii="宋体"/>
    </w:rPr>
  </w:style>
  <w:style w:type="paragraph" w:styleId="16">
    <w:name w:val="Balloon Text"/>
    <w:basedOn w:val="1"/>
    <w:link w:val="214"/>
    <w:semiHidden/>
    <w:unhideWhenUsed/>
    <w:qFormat/>
    <w:uiPriority w:val="99"/>
    <w:rPr>
      <w:sz w:val="18"/>
      <w:szCs w:val="18"/>
    </w:rPr>
  </w:style>
  <w:style w:type="paragraph" w:styleId="17">
    <w:name w:val="footer"/>
    <w:basedOn w:val="1"/>
    <w:link w:val="213"/>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212"/>
    <w:uiPriority w:val="99"/>
    <w:pPr>
      <w:tabs>
        <w:tab w:val="center" w:pos="4153"/>
        <w:tab w:val="right" w:pos="8306"/>
      </w:tabs>
      <w:adjustRightInd/>
      <w:snapToGrid w:val="0"/>
      <w:jc w:val="center"/>
    </w:pPr>
    <w:rPr>
      <w:sz w:val="18"/>
      <w:szCs w:val="18"/>
    </w:rPr>
  </w:style>
  <w:style w:type="paragraph" w:styleId="19">
    <w:name w:val="toc 1"/>
    <w:basedOn w:val="1"/>
    <w:next w:val="1"/>
    <w:unhideWhenUsed/>
    <w:qFormat/>
    <w:uiPriority w:val="39"/>
    <w:rPr>
      <w:rFonts w:ascii="宋体"/>
    </w:rPr>
  </w:style>
  <w:style w:type="paragraph" w:styleId="20">
    <w:name w:val="toc 4"/>
    <w:basedOn w:val="1"/>
    <w:next w:val="1"/>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22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unhideWhenUsed/>
    <w:qFormat/>
    <w:uiPriority w:val="39"/>
    <w:pPr>
      <w:tabs>
        <w:tab w:val="right" w:leader="dot" w:pos="9344"/>
      </w:tabs>
      <w:spacing w:line="300" w:lineRule="exact"/>
      <w:ind w:left="210"/>
    </w:pPr>
    <w:rPr>
      <w:rFonts w:ascii="宋体"/>
    </w:rPr>
  </w:style>
  <w:style w:type="paragraph" w:styleId="25">
    <w:name w:val="Title"/>
    <w:basedOn w:val="1"/>
    <w:link w:val="216"/>
    <w:qFormat/>
    <w:uiPriority w:val="0"/>
    <w:pPr>
      <w:spacing w:before="240" w:after="60"/>
      <w:jc w:val="center"/>
      <w:outlineLvl w:val="0"/>
    </w:pPr>
    <w:rPr>
      <w:rFonts w:ascii="Arial" w:hAnsi="Arial" w:cs="Arial"/>
      <w:b/>
      <w:bCs/>
      <w:sz w:val="32"/>
      <w:szCs w:val="32"/>
    </w:rPr>
  </w:style>
  <w:style w:type="character" w:styleId="27">
    <w:name w:val="Strong"/>
    <w:qFormat/>
    <w:uiPriority w:val="22"/>
    <w:rPr>
      <w:b/>
      <w:bCs/>
    </w:rPr>
  </w:style>
  <w:style w:type="character" w:styleId="28">
    <w:name w:val="page number"/>
    <w:qFormat/>
    <w:uiPriority w:val="0"/>
    <w:rPr>
      <w:rFonts w:ascii="宋体" w:hAnsi="Times New Roman" w:eastAsia="宋体"/>
      <w:sz w:val="18"/>
    </w:rPr>
  </w:style>
  <w:style w:type="character" w:styleId="29">
    <w:name w:val="Emphasis"/>
    <w:qFormat/>
    <w:uiPriority w:val="20"/>
    <w:rPr>
      <w:i/>
      <w:iCs/>
    </w:rPr>
  </w:style>
  <w:style w:type="character" w:styleId="30">
    <w:name w:val="Hyperlink"/>
    <w:qFormat/>
    <w:uiPriority w:val="99"/>
    <w:rPr>
      <w:rFonts w:ascii="宋体" w:hAnsi="Times New Roman" w:eastAsia="宋体"/>
      <w:color w:val="auto"/>
      <w:spacing w:val="0"/>
      <w:w w:val="100"/>
      <w:position w:val="0"/>
      <w:sz w:val="21"/>
      <w:u w:val="none"/>
    </w:rPr>
  </w:style>
  <w:style w:type="character" w:styleId="31">
    <w:name w:val="footnote reference"/>
    <w:semiHidden/>
    <w:qFormat/>
    <w:uiPriority w:val="0"/>
    <w:rPr>
      <w:rFonts w:ascii="宋体" w:hAnsi="宋体" w:eastAsia="宋体" w:cs="Times New Roman"/>
      <w:spacing w:val="0"/>
      <w:sz w:val="18"/>
      <w:vertAlign w:val="superscript"/>
    </w:rPr>
  </w:style>
  <w:style w:type="paragraph" w:customStyle="1" w:styleId="32">
    <w:name w:val="Quote"/>
    <w:basedOn w:val="1"/>
    <w:next w:val="1"/>
    <w:link w:val="215"/>
    <w:qFormat/>
    <w:uiPriority w:val="29"/>
    <w:rPr>
      <w:i/>
      <w:iCs/>
      <w:color w:val="000000"/>
    </w:rPr>
  </w:style>
  <w:style w:type="paragraph" w:customStyle="1" w:styleId="33">
    <w:name w:val="标准标志"/>
    <w:next w:val="1"/>
    <w:qFormat/>
    <w:uiPriority w:val="0"/>
    <w:pPr>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34">
    <w:name w:val="标准称谓"/>
    <w:next w:val="1"/>
    <w:uiPriority w:val="0"/>
    <w:pPr>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35">
    <w:name w:val="标准文件_页脚偶数页"/>
    <w:uiPriority w:val="0"/>
    <w:pPr>
      <w:ind w:left="198"/>
    </w:pPr>
    <w:rPr>
      <w:rFonts w:ascii="宋体" w:hAnsi="Times New Roman" w:eastAsia="宋体" w:cs="Times New Roman"/>
      <w:sz w:val="18"/>
      <w:lang w:val="en-US" w:eastAsia="zh-CN" w:bidi="ar-SA"/>
    </w:rPr>
  </w:style>
  <w:style w:type="paragraph" w:customStyle="1" w:styleId="36">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37">
    <w:name w:val="标准书眉一"/>
    <w:uiPriority w:val="0"/>
    <w:pPr>
      <w:jc w:val="both"/>
    </w:pPr>
    <w:rPr>
      <w:rFonts w:ascii="Times New Roman" w:hAnsi="Times New Roman" w:eastAsia="宋体" w:cs="Times New Roman"/>
      <w:lang w:val="en-US" w:eastAsia="zh-CN" w:bidi="ar-SA"/>
    </w:rPr>
  </w:style>
  <w:style w:type="paragraph" w:customStyle="1" w:styleId="38">
    <w:name w:val="标准文件_ICS"/>
    <w:basedOn w:val="1"/>
    <w:uiPriority w:val="0"/>
    <w:pPr>
      <w:spacing w:line="0" w:lineRule="atLeast"/>
    </w:pPr>
    <w:rPr>
      <w:rFonts w:ascii="黑体" w:hAnsi="宋体" w:eastAsia="黑体"/>
    </w:rPr>
  </w:style>
  <w:style w:type="paragraph" w:customStyle="1" w:styleId="39">
    <w:name w:val="标准文件_标准正文"/>
    <w:basedOn w:val="1"/>
    <w:next w:val="40"/>
    <w:qFormat/>
    <w:uiPriority w:val="0"/>
    <w:pPr>
      <w:snapToGrid w:val="0"/>
      <w:ind w:firstLine="200" w:firstLineChars="200"/>
    </w:pPr>
    <w:rPr>
      <w:kern w:val="0"/>
    </w:rPr>
  </w:style>
  <w:style w:type="paragraph" w:customStyle="1" w:styleId="40">
    <w:name w:val="标准文件_段"/>
    <w:link w:val="22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41">
    <w:name w:val="标准文件_版本"/>
    <w:basedOn w:val="39"/>
    <w:qFormat/>
    <w:uiPriority w:val="0"/>
    <w:pPr>
      <w:adjustRightInd/>
      <w:snapToGrid/>
      <w:ind w:firstLine="0" w:firstLineChars="0"/>
    </w:pPr>
    <w:rPr>
      <w:rFonts w:ascii="宋体" w:hAnsi="宋体"/>
      <w:kern w:val="2"/>
    </w:rPr>
  </w:style>
  <w:style w:type="paragraph" w:customStyle="1" w:styleId="42">
    <w:name w:val="标准文件_标准部门"/>
    <w:basedOn w:val="1"/>
    <w:qFormat/>
    <w:uiPriority w:val="0"/>
    <w:pPr>
      <w:jc w:val="center"/>
    </w:pPr>
    <w:rPr>
      <w:rFonts w:ascii="黑体" w:eastAsia="黑体"/>
      <w:kern w:val="0"/>
      <w:sz w:val="44"/>
    </w:rPr>
  </w:style>
  <w:style w:type="paragraph" w:customStyle="1" w:styleId="43">
    <w:name w:val="标准文件_标准代替"/>
    <w:basedOn w:val="1"/>
    <w:next w:val="1"/>
    <w:uiPriority w:val="0"/>
    <w:pPr>
      <w:spacing w:line="310" w:lineRule="exact"/>
      <w:jc w:val="right"/>
    </w:pPr>
    <w:rPr>
      <w:rFonts w:ascii="宋体" w:hAnsi="宋体"/>
      <w:kern w:val="0"/>
    </w:rPr>
  </w:style>
  <w:style w:type="paragraph" w:customStyle="1" w:styleId="44">
    <w:name w:val="标准文件_标准名称标题"/>
    <w:basedOn w:val="1"/>
    <w:next w:val="1"/>
    <w:uiPriority w:val="0"/>
    <w:pPr>
      <w:widowControl/>
      <w:shd w:val="clear" w:color="FFFFFF" w:fill="FFFFFF"/>
      <w:adjustRightInd/>
      <w:spacing w:before="640" w:after="100"/>
      <w:jc w:val="center"/>
    </w:pPr>
    <w:rPr>
      <w:rFonts w:ascii="黑体" w:eastAsia="黑体"/>
      <w:kern w:val="0"/>
      <w:sz w:val="32"/>
    </w:rPr>
  </w:style>
  <w:style w:type="paragraph" w:customStyle="1" w:styleId="45">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46">
    <w:name w:val="标准文件_页眉偶数页"/>
    <w:basedOn w:val="45"/>
    <w:next w:val="1"/>
    <w:qFormat/>
    <w:uiPriority w:val="0"/>
    <w:pPr>
      <w:jc w:val="left"/>
    </w:pPr>
  </w:style>
  <w:style w:type="paragraph" w:customStyle="1" w:styleId="47">
    <w:name w:val="标准文件_参考文献标题"/>
    <w:basedOn w:val="1"/>
    <w:next w:val="1"/>
    <w:qFormat/>
    <w:uiPriority w:val="0"/>
    <w:pPr>
      <w:widowControl/>
      <w:shd w:val="clear" w:color="FFFFFF" w:fill="FFFFFF"/>
      <w:adjustRightInd/>
      <w:spacing w:beforeLines="40" w:afterLines="50" w:line="240" w:lineRule="auto"/>
      <w:jc w:val="center"/>
      <w:outlineLvl w:val="0"/>
    </w:pPr>
    <w:rPr>
      <w:rFonts w:ascii="黑体" w:eastAsia="黑体"/>
      <w:kern w:val="0"/>
    </w:rPr>
  </w:style>
  <w:style w:type="paragraph" w:customStyle="1" w:styleId="48">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49">
    <w:name w:val="标准文件_二级条标题"/>
    <w:next w:val="40"/>
    <w:qFormat/>
    <w:uiPriority w:val="0"/>
    <w:pPr>
      <w:widowControl w:val="0"/>
      <w:numPr>
        <w:ilvl w:val="3"/>
        <w:numId w:val="2"/>
      </w:numPr>
      <w:spacing w:beforeLines="50" w:afterLines="50"/>
      <w:jc w:val="both"/>
      <w:outlineLvl w:val="2"/>
    </w:pPr>
    <w:rPr>
      <w:rFonts w:ascii="黑体" w:hAnsi="Times New Roman" w:eastAsia="黑体" w:cs="Times New Roman"/>
      <w:sz w:val="21"/>
      <w:lang w:val="en-US" w:eastAsia="zh-CN" w:bidi="ar-SA"/>
    </w:rPr>
  </w:style>
  <w:style w:type="paragraph" w:customStyle="1" w:styleId="50">
    <w:name w:val="标准文件_方框数字列项"/>
    <w:basedOn w:val="40"/>
    <w:qFormat/>
    <w:uiPriority w:val="0"/>
    <w:pPr>
      <w:numPr>
        <w:ilvl w:val="0"/>
        <w:numId w:val="3"/>
      </w:numPr>
      <w:ind w:firstLine="0" w:firstLineChars="0"/>
    </w:pPr>
  </w:style>
  <w:style w:type="paragraph" w:customStyle="1" w:styleId="51">
    <w:name w:val="标准文件_封面标准编号"/>
    <w:basedOn w:val="1"/>
    <w:next w:val="43"/>
    <w:qFormat/>
    <w:uiPriority w:val="0"/>
    <w:pPr>
      <w:spacing w:line="310" w:lineRule="exact"/>
      <w:jc w:val="right"/>
    </w:pPr>
    <w:rPr>
      <w:rFonts w:ascii="黑体" w:eastAsia="黑体"/>
      <w:kern w:val="0"/>
      <w:sz w:val="28"/>
    </w:rPr>
  </w:style>
  <w:style w:type="paragraph" w:customStyle="1" w:styleId="52">
    <w:name w:val="标准文件_封面标准分类号"/>
    <w:basedOn w:val="1"/>
    <w:qFormat/>
    <w:uiPriority w:val="0"/>
    <w:rPr>
      <w:rFonts w:ascii="黑体" w:eastAsia="黑体"/>
      <w:b/>
      <w:kern w:val="0"/>
      <w:sz w:val="28"/>
    </w:rPr>
  </w:style>
  <w:style w:type="paragraph" w:customStyle="1" w:styleId="53">
    <w:name w:val="标准文件_封面标准名称"/>
    <w:basedOn w:val="1"/>
    <w:qFormat/>
    <w:uiPriority w:val="0"/>
    <w:pPr>
      <w:spacing w:line="240" w:lineRule="auto"/>
      <w:jc w:val="center"/>
    </w:pPr>
    <w:rPr>
      <w:rFonts w:ascii="黑体" w:eastAsia="黑体"/>
      <w:kern w:val="0"/>
      <w:sz w:val="52"/>
    </w:rPr>
  </w:style>
  <w:style w:type="paragraph" w:customStyle="1" w:styleId="54">
    <w:name w:val="标准文件_封面标准英文名称"/>
    <w:basedOn w:val="1"/>
    <w:qFormat/>
    <w:uiPriority w:val="0"/>
    <w:pPr>
      <w:spacing w:line="240" w:lineRule="auto"/>
      <w:jc w:val="center"/>
    </w:pPr>
    <w:rPr>
      <w:rFonts w:ascii="黑体" w:eastAsia="黑体"/>
      <w:b/>
      <w:sz w:val="28"/>
    </w:rPr>
  </w:style>
  <w:style w:type="paragraph" w:customStyle="1" w:styleId="55">
    <w:name w:val="标准文件_封面发布日期"/>
    <w:basedOn w:val="1"/>
    <w:qFormat/>
    <w:uiPriority w:val="0"/>
    <w:pPr>
      <w:spacing w:line="310" w:lineRule="exact"/>
    </w:pPr>
    <w:rPr>
      <w:rFonts w:ascii="黑体" w:eastAsia="黑体"/>
      <w:kern w:val="0"/>
      <w:sz w:val="28"/>
    </w:rPr>
  </w:style>
  <w:style w:type="paragraph" w:customStyle="1" w:styleId="56">
    <w:name w:val="标准文件_封面密级"/>
    <w:basedOn w:val="1"/>
    <w:qFormat/>
    <w:uiPriority w:val="0"/>
    <w:rPr>
      <w:rFonts w:eastAsia="黑体"/>
      <w:sz w:val="32"/>
    </w:rPr>
  </w:style>
  <w:style w:type="paragraph" w:customStyle="1" w:styleId="57">
    <w:name w:val="标准文件_封面实施日期"/>
    <w:basedOn w:val="1"/>
    <w:qFormat/>
    <w:uiPriority w:val="0"/>
    <w:pPr>
      <w:spacing w:line="310" w:lineRule="exact"/>
      <w:jc w:val="right"/>
    </w:pPr>
    <w:rPr>
      <w:rFonts w:ascii="黑体" w:eastAsia="黑体"/>
      <w:sz w:val="28"/>
    </w:rPr>
  </w:style>
  <w:style w:type="paragraph" w:customStyle="1" w:styleId="58">
    <w:name w:val="标准文件_封面抬头"/>
    <w:basedOn w:val="40"/>
    <w:qFormat/>
    <w:uiPriority w:val="0"/>
    <w:pPr>
      <w:adjustRightInd w:val="0"/>
      <w:spacing w:line="800" w:lineRule="exact"/>
      <w:ind w:firstLine="0" w:firstLineChars="0"/>
      <w:jc w:val="distribute"/>
    </w:pPr>
    <w:rPr>
      <w:rFonts w:ascii="黑体" w:eastAsia="黑体"/>
      <w:b/>
      <w:sz w:val="64"/>
    </w:rPr>
  </w:style>
  <w:style w:type="paragraph" w:customStyle="1" w:styleId="59">
    <w:name w:val="标准文件_附录标识"/>
    <w:next w:val="40"/>
    <w:qFormat/>
    <w:uiPriority w:val="0"/>
    <w:pPr>
      <w:numPr>
        <w:ilvl w:val="0"/>
        <w:numId w:val="4"/>
      </w:numPr>
      <w:shd w:val="clear" w:color="FFFFFF" w:fill="FFFFFF"/>
      <w:tabs>
        <w:tab w:val="left" w:pos="6406"/>
      </w:tabs>
      <w:spacing w:beforeLines="25" w:afterLines="50"/>
      <w:jc w:val="center"/>
      <w:outlineLvl w:val="0"/>
    </w:pPr>
    <w:rPr>
      <w:rFonts w:ascii="黑体" w:hAnsi="Times New Roman" w:eastAsia="黑体" w:cs="Times New Roman"/>
      <w:sz w:val="21"/>
      <w:lang w:val="en-US" w:eastAsia="zh-CN" w:bidi="ar-SA"/>
    </w:rPr>
  </w:style>
  <w:style w:type="paragraph" w:customStyle="1" w:styleId="60">
    <w:name w:val="标准文件_附录表标题"/>
    <w:next w:val="40"/>
    <w:qFormat/>
    <w:uiPriority w:val="0"/>
    <w:pPr>
      <w:numPr>
        <w:ilvl w:val="1"/>
        <w:numId w:val="5"/>
      </w:numPr>
      <w:adjustRightInd w:val="0"/>
      <w:snapToGrid w:val="0"/>
      <w:spacing w:beforeLines="50" w:afterLines="50"/>
      <w:ind w:firstLine="420"/>
      <w:jc w:val="center"/>
      <w:textAlignment w:val="baseline"/>
    </w:pPr>
    <w:rPr>
      <w:rFonts w:ascii="黑体" w:hAnsi="Times New Roman" w:eastAsia="黑体" w:cs="Times New Roman"/>
      <w:kern w:val="21"/>
      <w:sz w:val="21"/>
      <w:lang w:val="en-US" w:eastAsia="zh-CN" w:bidi="ar-SA"/>
    </w:rPr>
  </w:style>
  <w:style w:type="paragraph" w:customStyle="1" w:styleId="61">
    <w:name w:val="标准文件_附录一级条标题"/>
    <w:next w:val="40"/>
    <w:qFormat/>
    <w:uiPriority w:val="0"/>
    <w:pPr>
      <w:widowControl w:val="0"/>
      <w:numPr>
        <w:ilvl w:val="1"/>
        <w:numId w:val="4"/>
      </w:numPr>
      <w:spacing w:beforeLines="50" w:afterLines="50"/>
      <w:jc w:val="both"/>
      <w:outlineLvl w:val="2"/>
    </w:pPr>
    <w:rPr>
      <w:rFonts w:ascii="黑体" w:hAnsi="Times New Roman" w:eastAsia="黑体" w:cs="Times New Roman"/>
      <w:kern w:val="21"/>
      <w:sz w:val="21"/>
      <w:lang w:val="en-US" w:eastAsia="zh-CN" w:bidi="ar-SA"/>
    </w:rPr>
  </w:style>
  <w:style w:type="paragraph" w:customStyle="1" w:styleId="62">
    <w:name w:val="标准文件_附录二级条标题"/>
    <w:basedOn w:val="61"/>
    <w:next w:val="40"/>
    <w:qFormat/>
    <w:uiPriority w:val="0"/>
    <w:pPr>
      <w:widowControl/>
      <w:numPr>
        <w:ilvl w:val="2"/>
        <w:numId w:val="4"/>
      </w:numPr>
      <w:wordWrap w:val="0"/>
      <w:overflowPunct w:val="0"/>
      <w:autoSpaceDE w:val="0"/>
      <w:autoSpaceDN w:val="0"/>
      <w:textAlignment w:val="baseline"/>
      <w:outlineLvl w:val="3"/>
    </w:pPr>
  </w:style>
  <w:style w:type="paragraph" w:customStyle="1" w:styleId="63">
    <w:name w:val="标准文件_附录公式"/>
    <w:basedOn w:val="39"/>
    <w:next w:val="39"/>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64">
    <w:name w:val="标准文件_附录三级条标题"/>
    <w:next w:val="40"/>
    <w:qFormat/>
    <w:uiPriority w:val="0"/>
    <w:pPr>
      <w:widowControl w:val="0"/>
      <w:numPr>
        <w:ilvl w:val="3"/>
        <w:numId w:val="4"/>
      </w:numPr>
      <w:spacing w:beforeLines="50" w:afterLines="50"/>
      <w:jc w:val="both"/>
      <w:outlineLvl w:val="4"/>
    </w:pPr>
    <w:rPr>
      <w:rFonts w:ascii="黑体" w:hAnsi="Times New Roman" w:eastAsia="黑体" w:cs="Times New Roman"/>
      <w:kern w:val="21"/>
      <w:sz w:val="21"/>
      <w:lang w:val="en-US" w:eastAsia="zh-CN" w:bidi="ar-SA"/>
    </w:rPr>
  </w:style>
  <w:style w:type="paragraph" w:customStyle="1" w:styleId="65">
    <w:name w:val="标准文件_附录四级条标题"/>
    <w:next w:val="40"/>
    <w:qFormat/>
    <w:uiPriority w:val="0"/>
    <w:pPr>
      <w:widowControl w:val="0"/>
      <w:numPr>
        <w:ilvl w:val="4"/>
        <w:numId w:val="4"/>
      </w:numPr>
      <w:spacing w:beforeLines="50" w:afterLines="50"/>
      <w:jc w:val="both"/>
      <w:outlineLvl w:val="5"/>
    </w:pPr>
    <w:rPr>
      <w:rFonts w:ascii="黑体" w:hAnsi="Times New Roman" w:eastAsia="黑体" w:cs="Times New Roman"/>
      <w:kern w:val="21"/>
      <w:sz w:val="21"/>
      <w:lang w:val="en-US" w:eastAsia="zh-CN" w:bidi="ar-SA"/>
    </w:rPr>
  </w:style>
  <w:style w:type="paragraph" w:customStyle="1" w:styleId="66">
    <w:name w:val="标准文件_附录图标题"/>
    <w:next w:val="40"/>
    <w:qFormat/>
    <w:uiPriority w:val="0"/>
    <w:pPr>
      <w:numPr>
        <w:ilvl w:val="1"/>
        <w:numId w:val="6"/>
      </w:numPr>
      <w:adjustRightInd w:val="0"/>
      <w:snapToGrid w:val="0"/>
      <w:spacing w:beforeLines="50" w:afterLines="50"/>
      <w:ind w:firstLine="420"/>
      <w:jc w:val="center"/>
    </w:pPr>
    <w:rPr>
      <w:rFonts w:ascii="黑体" w:hAnsi="Times New Roman" w:eastAsia="黑体" w:cs="Times New Roman"/>
      <w:sz w:val="21"/>
      <w:lang w:val="en-US" w:eastAsia="zh-CN" w:bidi="ar-SA"/>
    </w:rPr>
  </w:style>
  <w:style w:type="paragraph" w:customStyle="1" w:styleId="67">
    <w:name w:val="标准文件_附录五级条标题"/>
    <w:next w:val="40"/>
    <w:qFormat/>
    <w:uiPriority w:val="0"/>
    <w:pPr>
      <w:widowControl w:val="0"/>
      <w:numPr>
        <w:ilvl w:val="5"/>
        <w:numId w:val="4"/>
      </w:numPr>
      <w:spacing w:beforeLines="50" w:afterLines="50"/>
      <w:jc w:val="both"/>
      <w:outlineLvl w:val="6"/>
    </w:pPr>
    <w:rPr>
      <w:rFonts w:ascii="黑体" w:hAnsi="Times New Roman" w:eastAsia="黑体" w:cs="Times New Roman"/>
      <w:kern w:val="21"/>
      <w:sz w:val="21"/>
      <w:lang w:val="en-US" w:eastAsia="zh-CN" w:bidi="ar-SA"/>
    </w:rPr>
  </w:style>
  <w:style w:type="paragraph" w:customStyle="1" w:styleId="68">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paragraph" w:customStyle="1" w:styleId="69">
    <w:name w:val="标准文件_附录章标题"/>
    <w:next w:val="40"/>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70">
    <w:name w:val="标准文件_公式后的破折号"/>
    <w:basedOn w:val="40"/>
    <w:next w:val="40"/>
    <w:qFormat/>
    <w:uiPriority w:val="0"/>
    <w:pPr>
      <w:ind w:left="488" w:leftChars="200" w:hanging="289" w:hangingChars="290"/>
    </w:pPr>
  </w:style>
  <w:style w:type="paragraph" w:customStyle="1" w:styleId="71">
    <w:name w:val="标准文件_前言、引言标题"/>
    <w:next w:val="1"/>
    <w:qFormat/>
    <w:uiPriority w:val="0"/>
    <w:pPr>
      <w:numPr>
        <w:ilvl w:val="0"/>
        <w:numId w:val="8"/>
      </w:numPr>
      <w:shd w:val="clear" w:color="FFFFFF" w:fill="FFFFFF"/>
      <w:spacing w:afterLines="150"/>
      <w:ind w:left="0" w:firstLine="0"/>
      <w:jc w:val="center"/>
      <w:outlineLvl w:val="0"/>
    </w:pPr>
    <w:rPr>
      <w:rFonts w:ascii="黑体" w:hAnsi="Times New Roman" w:eastAsia="黑体" w:cs="Times New Roman"/>
      <w:sz w:val="32"/>
      <w:lang w:val="en-US" w:eastAsia="zh-CN" w:bidi="ar-SA"/>
    </w:rPr>
  </w:style>
  <w:style w:type="paragraph" w:customStyle="1" w:styleId="72">
    <w:name w:val="标准文件_目次、标准名称标题"/>
    <w:basedOn w:val="71"/>
    <w:next w:val="40"/>
    <w:qFormat/>
    <w:uiPriority w:val="0"/>
    <w:pPr>
      <w:spacing w:line="460" w:lineRule="exact"/>
    </w:pPr>
  </w:style>
  <w:style w:type="paragraph" w:customStyle="1" w:styleId="73">
    <w:name w:val="标准文件_目录标题"/>
    <w:basedOn w:val="1"/>
    <w:qFormat/>
    <w:uiPriority w:val="0"/>
    <w:pPr>
      <w:spacing w:afterLines="150" w:line="240" w:lineRule="auto"/>
      <w:jc w:val="center"/>
    </w:pPr>
    <w:rPr>
      <w:rFonts w:ascii="黑体" w:eastAsia="黑体"/>
      <w:sz w:val="32"/>
    </w:rPr>
  </w:style>
  <w:style w:type="paragraph" w:customStyle="1" w:styleId="74">
    <w:name w:val="标准文件_破折号列项"/>
    <w:qFormat/>
    <w:uiPriority w:val="0"/>
    <w:pPr>
      <w:numPr>
        <w:ilvl w:val="0"/>
        <w:numId w:val="9"/>
      </w:numPr>
      <w:adjustRightInd w:val="0"/>
      <w:snapToGrid w:val="0"/>
      <w:ind w:left="0" w:firstLine="200" w:firstLineChars="200"/>
    </w:pPr>
    <w:rPr>
      <w:rFonts w:ascii="Times New Roman" w:hAnsi="Times New Roman" w:eastAsia="宋体" w:cs="Times New Roman"/>
      <w:sz w:val="21"/>
      <w:lang w:val="en-US" w:eastAsia="zh-CN" w:bidi="ar-SA"/>
    </w:rPr>
  </w:style>
  <w:style w:type="paragraph" w:customStyle="1" w:styleId="75">
    <w:name w:val="标准文件_破折号列项（二级）"/>
    <w:basedOn w:val="74"/>
    <w:qFormat/>
    <w:uiPriority w:val="0"/>
    <w:pPr>
      <w:numPr>
        <w:ilvl w:val="0"/>
        <w:numId w:val="10"/>
      </w:numPr>
      <w:ind w:left="0" w:firstLine="200"/>
    </w:pPr>
  </w:style>
  <w:style w:type="paragraph" w:customStyle="1" w:styleId="76">
    <w:name w:val="标准文件_三级条标题"/>
    <w:basedOn w:val="49"/>
    <w:next w:val="40"/>
    <w:qFormat/>
    <w:uiPriority w:val="0"/>
    <w:pPr>
      <w:widowControl/>
      <w:numPr>
        <w:ilvl w:val="4"/>
        <w:numId w:val="2"/>
      </w:numPr>
      <w:outlineLvl w:val="3"/>
    </w:pPr>
  </w:style>
  <w:style w:type="paragraph" w:customStyle="1" w:styleId="77">
    <w:name w:val="标准文件_示例后续"/>
    <w:basedOn w:val="1"/>
    <w:qFormat/>
    <w:uiPriority w:val="0"/>
    <w:pPr>
      <w:adjustRightInd/>
      <w:spacing w:line="240" w:lineRule="auto"/>
      <w:ind w:firstLine="200" w:firstLineChars="200"/>
    </w:pPr>
    <w:rPr>
      <w:sz w:val="18"/>
      <w:szCs w:val="24"/>
    </w:rPr>
  </w:style>
  <w:style w:type="paragraph" w:customStyle="1" w:styleId="7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79">
    <w:name w:val="标准文件_四级条标题"/>
    <w:next w:val="40"/>
    <w:qFormat/>
    <w:uiPriority w:val="0"/>
    <w:pPr>
      <w:widowControl w:val="0"/>
      <w:numPr>
        <w:ilvl w:val="5"/>
        <w:numId w:val="2"/>
      </w:numPr>
      <w:spacing w:beforeLines="50" w:afterLines="50"/>
      <w:jc w:val="both"/>
      <w:outlineLvl w:val="4"/>
    </w:pPr>
    <w:rPr>
      <w:rFonts w:ascii="黑体" w:hAnsi="Times New Roman" w:eastAsia="黑体" w:cs="Times New Roman"/>
      <w:sz w:val="21"/>
      <w:lang w:val="en-US" w:eastAsia="zh-CN" w:bidi="ar-SA"/>
    </w:rPr>
  </w:style>
  <w:style w:type="paragraph" w:customStyle="1" w:styleId="8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81">
    <w:name w:val="标准文件_图表脚注"/>
    <w:basedOn w:val="1"/>
    <w:next w:val="40"/>
    <w:qFormat/>
    <w:uiPriority w:val="0"/>
    <w:pPr>
      <w:numPr>
        <w:ilvl w:val="0"/>
        <w:numId w:val="12"/>
      </w:numPr>
      <w:spacing w:line="240" w:lineRule="auto"/>
      <w:jc w:val="left"/>
    </w:pPr>
    <w:rPr>
      <w:rFonts w:ascii="宋体" w:hAnsi="宋体"/>
      <w:sz w:val="18"/>
    </w:rPr>
  </w:style>
  <w:style w:type="paragraph" w:customStyle="1" w:styleId="82">
    <w:name w:val="标准文件_五级条标题"/>
    <w:next w:val="40"/>
    <w:qFormat/>
    <w:uiPriority w:val="0"/>
    <w:pPr>
      <w:widowControl w:val="0"/>
      <w:numPr>
        <w:ilvl w:val="6"/>
        <w:numId w:val="2"/>
      </w:numPr>
      <w:spacing w:beforeLines="50" w:afterLines="50"/>
      <w:jc w:val="both"/>
      <w:outlineLvl w:val="5"/>
    </w:pPr>
    <w:rPr>
      <w:rFonts w:ascii="黑体" w:hAnsi="Times New Roman" w:eastAsia="黑体" w:cs="Times New Roman"/>
      <w:sz w:val="21"/>
      <w:lang w:val="en-US" w:eastAsia="zh-CN" w:bidi="ar-SA"/>
    </w:rPr>
  </w:style>
  <w:style w:type="paragraph" w:customStyle="1" w:styleId="83">
    <w:name w:val="标准文件_章标题"/>
    <w:next w:val="40"/>
    <w:qFormat/>
    <w:uiPriority w:val="0"/>
    <w:pPr>
      <w:numPr>
        <w:ilvl w:val="1"/>
        <w:numId w:val="2"/>
      </w:numPr>
      <w:spacing w:beforeLines="100" w:afterLines="100"/>
      <w:jc w:val="both"/>
      <w:outlineLvl w:val="0"/>
    </w:pPr>
    <w:rPr>
      <w:rFonts w:ascii="黑体" w:hAnsi="Times New Roman" w:eastAsia="黑体" w:cs="Times New Roman"/>
      <w:sz w:val="21"/>
      <w:lang w:val="en-US" w:eastAsia="zh-CN" w:bidi="ar-SA"/>
    </w:rPr>
  </w:style>
  <w:style w:type="paragraph" w:customStyle="1" w:styleId="84">
    <w:name w:val="标准文件_一级条标题"/>
    <w:basedOn w:val="83"/>
    <w:next w:val="40"/>
    <w:qFormat/>
    <w:uiPriority w:val="0"/>
    <w:pPr>
      <w:numPr>
        <w:ilvl w:val="2"/>
        <w:numId w:val="2"/>
      </w:numPr>
      <w:spacing w:beforeLines="50" w:afterLines="50"/>
      <w:ind w:left="426"/>
      <w:outlineLvl w:val="1"/>
    </w:pPr>
  </w:style>
  <w:style w:type="paragraph" w:customStyle="1" w:styleId="85">
    <w:name w:val="标准文件_一致程度"/>
    <w:basedOn w:val="1"/>
    <w:qFormat/>
    <w:uiPriority w:val="0"/>
    <w:pPr>
      <w:spacing w:line="440" w:lineRule="exact"/>
      <w:jc w:val="center"/>
    </w:pPr>
    <w:rPr>
      <w:sz w:val="28"/>
    </w:rPr>
  </w:style>
  <w:style w:type="paragraph" w:customStyle="1" w:styleId="86">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87">
    <w:name w:val="标准文件_英文图表脚注"/>
    <w:basedOn w:val="39"/>
    <w:qFormat/>
    <w:uiPriority w:val="0"/>
    <w:pPr>
      <w:widowControl/>
      <w:adjustRightInd/>
      <w:snapToGrid/>
      <w:spacing w:line="240" w:lineRule="auto"/>
      <w:ind w:left="79" w:hanging="79" w:hangingChars="80"/>
    </w:pPr>
    <w:rPr>
      <w:rFonts w:ascii="宋体" w:hAnsi="宋体"/>
    </w:rPr>
  </w:style>
  <w:style w:type="paragraph" w:customStyle="1" w:styleId="88">
    <w:name w:val="标准文件_数字编号列项（二级）"/>
    <w:qFormat/>
    <w:uiPriority w:val="0"/>
    <w:pPr>
      <w:numPr>
        <w:ilvl w:val="1"/>
        <w:numId w:val="13"/>
      </w:numPr>
      <w:tabs>
        <w:tab w:val="left" w:pos="851"/>
      </w:tabs>
      <w:jc w:val="both"/>
    </w:pPr>
    <w:rPr>
      <w:rFonts w:ascii="宋体" w:hAnsi="Times New Roman" w:eastAsia="宋体" w:cs="Times New Roman"/>
      <w:sz w:val="21"/>
      <w:lang w:val="en-US" w:eastAsia="zh-CN" w:bidi="ar-SA"/>
    </w:rPr>
  </w:style>
  <w:style w:type="paragraph" w:customStyle="1" w:styleId="89">
    <w:name w:val="标准文件_英文注："/>
    <w:basedOn w:val="1"/>
    <w:next w:val="40"/>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90">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91">
    <w:name w:val="标准文件_正文表标题"/>
    <w:next w:val="40"/>
    <w:qFormat/>
    <w:uiPriority w:val="0"/>
    <w:pPr>
      <w:numPr>
        <w:ilvl w:val="0"/>
        <w:numId w:val="16"/>
      </w:numPr>
      <w:tabs>
        <w:tab w:val="left" w:pos="0"/>
      </w:tabs>
      <w:spacing w:beforeLines="50" w:afterLines="50"/>
      <w:jc w:val="center"/>
    </w:pPr>
    <w:rPr>
      <w:rFonts w:ascii="黑体" w:hAnsi="Times New Roman" w:eastAsia="黑体" w:cs="Times New Roman"/>
      <w:sz w:val="21"/>
      <w:lang w:val="en-US" w:eastAsia="zh-CN" w:bidi="ar-SA"/>
    </w:rPr>
  </w:style>
  <w:style w:type="paragraph" w:customStyle="1" w:styleId="92">
    <w:name w:val="标准文件_正文公式"/>
    <w:basedOn w:val="1"/>
    <w:next w:val="39"/>
    <w:qFormat/>
    <w:uiPriority w:val="0"/>
    <w:pPr>
      <w:tabs>
        <w:tab w:val="center" w:pos="4678"/>
        <w:tab w:val="right" w:leader="middleDot" w:pos="9356"/>
      </w:tabs>
      <w:spacing w:line="240" w:lineRule="auto"/>
    </w:pPr>
    <w:rPr>
      <w:rFonts w:ascii="宋体" w:hAnsi="宋体"/>
    </w:rPr>
  </w:style>
  <w:style w:type="paragraph" w:customStyle="1" w:styleId="93">
    <w:name w:val="标准文件_正文图标题"/>
    <w:next w:val="40"/>
    <w:qFormat/>
    <w:uiPriority w:val="0"/>
    <w:pPr>
      <w:numPr>
        <w:ilvl w:val="0"/>
        <w:numId w:val="17"/>
      </w:numPr>
      <w:spacing w:beforeLines="50" w:afterLines="50"/>
      <w:jc w:val="center"/>
    </w:pPr>
    <w:rPr>
      <w:rFonts w:ascii="黑体" w:hAnsi="Times New Roman" w:eastAsia="黑体" w:cs="Times New Roman"/>
      <w:sz w:val="21"/>
      <w:lang w:val="en-US" w:eastAsia="zh-CN" w:bidi="ar-SA"/>
    </w:rPr>
  </w:style>
  <w:style w:type="paragraph" w:customStyle="1" w:styleId="94">
    <w:name w:val="标准文件_正文英文表标题"/>
    <w:next w:val="40"/>
    <w:uiPriority w:val="0"/>
    <w:pPr>
      <w:numPr>
        <w:ilvl w:val="0"/>
        <w:numId w:val="18"/>
      </w:numPr>
      <w:jc w:val="center"/>
    </w:pPr>
    <w:rPr>
      <w:rFonts w:ascii="黑体" w:hAnsi="Times New Roman" w:eastAsia="黑体" w:cs="Times New Roman"/>
      <w:sz w:val="21"/>
      <w:lang w:val="en-US" w:eastAsia="zh-CN" w:bidi="ar-SA"/>
    </w:rPr>
  </w:style>
  <w:style w:type="paragraph" w:customStyle="1" w:styleId="95">
    <w:name w:val="标准文件_正文英文图标题"/>
    <w:next w:val="40"/>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96">
    <w:name w:val="标准文件_编号列项（三级）"/>
    <w:qFormat/>
    <w:uiPriority w:val="0"/>
    <w:pPr>
      <w:numPr>
        <w:ilvl w:val="2"/>
        <w:numId w:val="13"/>
      </w:numPr>
      <w:tabs>
        <w:tab w:val="left" w:pos="851"/>
      </w:tabs>
    </w:pPr>
    <w:rPr>
      <w:rFonts w:ascii="宋体" w:hAnsi="Times New Roman" w:eastAsia="宋体" w:cs="Times New Roman"/>
      <w:sz w:val="21"/>
      <w:lang w:val="en-US" w:eastAsia="zh-CN" w:bidi="ar-SA"/>
    </w:rPr>
  </w:style>
  <w:style w:type="paragraph" w:customStyle="1" w:styleId="97">
    <w:name w:val="二级无标题条"/>
    <w:basedOn w:val="1"/>
    <w:qFormat/>
    <w:uiPriority w:val="0"/>
    <w:pPr>
      <w:numPr>
        <w:ilvl w:val="3"/>
        <w:numId w:val="20"/>
      </w:numPr>
      <w:adjustRightInd/>
      <w:spacing w:line="240" w:lineRule="auto"/>
    </w:pPr>
    <w:rPr>
      <w:rFonts w:ascii="宋体" w:hAnsi="宋体"/>
      <w:szCs w:val="24"/>
    </w:rPr>
  </w:style>
  <w:style w:type="paragraph" w:customStyle="1" w:styleId="98">
    <w:name w:val="发布部门"/>
    <w:next w:val="40"/>
    <w:qFormat/>
    <w:uiPriority w:val="0"/>
    <w:pPr>
      <w:jc w:val="center"/>
    </w:pPr>
    <w:rPr>
      <w:rFonts w:ascii="宋体" w:hAnsi="Times New Roman" w:eastAsia="宋体" w:cs="Times New Roman"/>
      <w:b/>
      <w:w w:val="135"/>
      <w:sz w:val="36"/>
      <w:lang w:val="en-US" w:eastAsia="zh-CN" w:bidi="ar-SA"/>
    </w:rPr>
  </w:style>
  <w:style w:type="paragraph" w:customStyle="1" w:styleId="99">
    <w:name w:val="发布日期"/>
    <w:uiPriority w:val="0"/>
    <w:rPr>
      <w:rFonts w:ascii="Times New Roman" w:hAnsi="Times New Roman" w:eastAsia="黑体" w:cs="Times New Roman"/>
      <w:sz w:val="28"/>
      <w:lang w:val="en-US" w:eastAsia="zh-CN" w:bidi="ar-SA"/>
    </w:rPr>
  </w:style>
  <w:style w:type="paragraph" w:customStyle="1" w:styleId="100">
    <w:name w:val="封面标准代替信息"/>
    <w:basedOn w:val="1"/>
    <w:qFormat/>
    <w:uiPriority w:val="0"/>
    <w:pPr>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01">
    <w:name w:val="封面标准名称"/>
    <w:qFormat/>
    <w:uiPriority w:val="0"/>
    <w:pPr>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02">
    <w:name w:val="封面标准文稿编辑信息"/>
    <w:uiPriority w:val="0"/>
    <w:pPr>
      <w:spacing w:before="180" w:line="180" w:lineRule="exact"/>
      <w:jc w:val="center"/>
    </w:pPr>
    <w:rPr>
      <w:rFonts w:ascii="宋体" w:hAnsi="Times New Roman" w:eastAsia="宋体" w:cs="Times New Roman"/>
      <w:sz w:val="21"/>
      <w:lang w:val="en-US" w:eastAsia="zh-CN" w:bidi="ar-SA"/>
    </w:rPr>
  </w:style>
  <w:style w:type="paragraph" w:customStyle="1" w:styleId="103">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04">
    <w:name w:val="封面标准英文名称"/>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05">
    <w:name w:val="封面一致性程度标识"/>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06">
    <w:name w:val="封面正文"/>
    <w:qFormat/>
    <w:uiPriority w:val="0"/>
    <w:pPr>
      <w:jc w:val="both"/>
    </w:pPr>
    <w:rPr>
      <w:rFonts w:ascii="Times New Roman" w:hAnsi="Times New Roman" w:eastAsia="宋体" w:cs="Times New Roman"/>
      <w:lang w:val="en-US" w:eastAsia="zh-CN" w:bidi="ar-SA"/>
    </w:rPr>
  </w:style>
  <w:style w:type="paragraph" w:customStyle="1" w:styleId="107">
    <w:name w:val="附录二级无标题条"/>
    <w:basedOn w:val="1"/>
    <w:next w:val="40"/>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08">
    <w:name w:val="附录三级无标题条"/>
    <w:basedOn w:val="107"/>
    <w:next w:val="40"/>
    <w:uiPriority w:val="0"/>
    <w:pPr>
      <w:outlineLvl w:val="4"/>
    </w:pPr>
  </w:style>
  <w:style w:type="paragraph" w:customStyle="1" w:styleId="109">
    <w:name w:val="附录四级无标题条"/>
    <w:basedOn w:val="108"/>
    <w:next w:val="40"/>
    <w:qFormat/>
    <w:uiPriority w:val="0"/>
    <w:pPr>
      <w:outlineLvl w:val="5"/>
    </w:pPr>
  </w:style>
  <w:style w:type="paragraph" w:customStyle="1" w:styleId="110">
    <w:name w:val="附录图"/>
    <w:next w:val="40"/>
    <w:uiPriority w:val="0"/>
    <w:pPr>
      <w:wordWrap w:val="0"/>
      <w:overflowPunct w:val="0"/>
      <w:autoSpaceDE w:val="0"/>
      <w:spacing w:beforeLines="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11">
    <w:name w:val="标准文件_一级项"/>
    <w:uiPriority w:val="0"/>
    <w:pPr>
      <w:numPr>
        <w:ilvl w:val="0"/>
        <w:numId w:val="21"/>
      </w:numPr>
    </w:pPr>
    <w:rPr>
      <w:rFonts w:ascii="宋体" w:hAnsi="Times New Roman" w:eastAsia="宋体" w:cs="Times New Roman"/>
      <w:sz w:val="21"/>
      <w:lang w:val="en-US" w:eastAsia="zh-CN" w:bidi="ar-SA"/>
    </w:rPr>
  </w:style>
  <w:style w:type="paragraph" w:customStyle="1" w:styleId="112">
    <w:name w:val="附录五级无标题条"/>
    <w:basedOn w:val="109"/>
    <w:next w:val="40"/>
    <w:qFormat/>
    <w:uiPriority w:val="0"/>
    <w:pPr>
      <w:outlineLvl w:val="6"/>
    </w:pPr>
  </w:style>
  <w:style w:type="paragraph" w:customStyle="1" w:styleId="113">
    <w:name w:val="附录性质"/>
    <w:basedOn w:val="1"/>
    <w:qFormat/>
    <w:uiPriority w:val="0"/>
    <w:pPr>
      <w:widowControl/>
      <w:adjustRightInd/>
      <w:jc w:val="center"/>
    </w:pPr>
    <w:rPr>
      <w:rFonts w:ascii="黑体" w:eastAsia="黑体"/>
    </w:rPr>
  </w:style>
  <w:style w:type="paragraph" w:customStyle="1" w:styleId="114">
    <w:name w:val="附录一级无标题条"/>
    <w:basedOn w:val="69"/>
    <w:next w:val="40"/>
    <w:qFormat/>
    <w:uiPriority w:val="0"/>
    <w:pPr>
      <w:autoSpaceDN w:val="0"/>
      <w:outlineLvl w:val="2"/>
    </w:pPr>
    <w:rPr>
      <w:rFonts w:ascii="宋体" w:hAnsi="宋体" w:eastAsia="宋体"/>
    </w:rPr>
  </w:style>
  <w:style w:type="paragraph" w:customStyle="1" w:styleId="115">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16">
    <w:name w:val="列项——"/>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17">
    <w:name w:val="列项·"/>
    <w:basedOn w:val="40"/>
    <w:uiPriority w:val="0"/>
    <w:pPr>
      <w:tabs>
        <w:tab w:val="left" w:pos="840"/>
      </w:tabs>
    </w:pPr>
  </w:style>
  <w:style w:type="paragraph" w:customStyle="1" w:styleId="118">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19">
    <w:name w:val="目录 21"/>
    <w:basedOn w:val="1"/>
    <w:next w:val="1"/>
    <w:semiHidden/>
    <w:uiPriority w:val="0"/>
    <w:pPr>
      <w:adjustRightInd/>
      <w:spacing w:line="240" w:lineRule="auto"/>
      <w:jc w:val="left"/>
    </w:pPr>
    <w:rPr>
      <w:bCs/>
      <w:iCs/>
    </w:rPr>
  </w:style>
  <w:style w:type="paragraph" w:customStyle="1" w:styleId="120">
    <w:name w:val="目录 31"/>
    <w:basedOn w:val="1"/>
    <w:next w:val="1"/>
    <w:semiHidden/>
    <w:qFormat/>
    <w:uiPriority w:val="0"/>
    <w:pPr>
      <w:spacing w:line="240" w:lineRule="auto"/>
    </w:pPr>
    <w:rPr>
      <w:rFonts w:ascii="宋体" w:hAnsi="宋体"/>
      <w:iCs/>
    </w:rPr>
  </w:style>
  <w:style w:type="paragraph" w:customStyle="1" w:styleId="121">
    <w:name w:val="目录 41"/>
    <w:basedOn w:val="1"/>
    <w:next w:val="1"/>
    <w:semiHidden/>
    <w:uiPriority w:val="0"/>
    <w:pPr>
      <w:adjustRightInd/>
      <w:spacing w:line="240" w:lineRule="auto"/>
      <w:jc w:val="left"/>
    </w:pPr>
  </w:style>
  <w:style w:type="paragraph" w:customStyle="1" w:styleId="122">
    <w:name w:val="目录 51"/>
    <w:basedOn w:val="1"/>
    <w:next w:val="1"/>
    <w:semiHidden/>
    <w:qFormat/>
    <w:uiPriority w:val="0"/>
    <w:pPr>
      <w:spacing w:line="240" w:lineRule="auto"/>
    </w:pPr>
    <w:rPr>
      <w:rFonts w:ascii="宋体" w:hAnsi="宋体"/>
    </w:rPr>
  </w:style>
  <w:style w:type="paragraph" w:customStyle="1" w:styleId="123">
    <w:name w:val="目录 61"/>
    <w:basedOn w:val="1"/>
    <w:next w:val="1"/>
    <w:semiHidden/>
    <w:qFormat/>
    <w:uiPriority w:val="0"/>
    <w:pPr>
      <w:adjustRightInd/>
      <w:spacing w:line="240" w:lineRule="auto"/>
      <w:jc w:val="left"/>
    </w:pPr>
  </w:style>
  <w:style w:type="paragraph" w:customStyle="1" w:styleId="124">
    <w:name w:val="目录 71"/>
    <w:basedOn w:val="123"/>
    <w:semiHidden/>
    <w:uiPriority w:val="0"/>
    <w:pPr>
      <w:ind w:left="1260"/>
    </w:pPr>
  </w:style>
  <w:style w:type="paragraph" w:customStyle="1" w:styleId="125">
    <w:name w:val="目录 81"/>
    <w:basedOn w:val="124"/>
    <w:semiHidden/>
    <w:qFormat/>
    <w:uiPriority w:val="0"/>
    <w:pPr>
      <w:ind w:left="1470"/>
    </w:pPr>
  </w:style>
  <w:style w:type="paragraph" w:customStyle="1" w:styleId="126">
    <w:name w:val="目录 91"/>
    <w:basedOn w:val="125"/>
    <w:semiHidden/>
    <w:qFormat/>
    <w:uiPriority w:val="0"/>
    <w:pPr>
      <w:ind w:left="1680"/>
    </w:pPr>
  </w:style>
  <w:style w:type="paragraph" w:customStyle="1" w:styleId="127">
    <w:name w:val="其他标准称谓"/>
    <w:uiPriority w:val="0"/>
    <w:pPr>
      <w:spacing w:line="0" w:lineRule="atLeast"/>
      <w:jc w:val="distribute"/>
    </w:pPr>
    <w:rPr>
      <w:rFonts w:ascii="黑体" w:hAnsi="宋体" w:eastAsia="黑体" w:cs="Times New Roman"/>
      <w:sz w:val="52"/>
      <w:lang w:val="en-US" w:eastAsia="zh-CN" w:bidi="ar-SA"/>
    </w:rPr>
  </w:style>
  <w:style w:type="paragraph" w:customStyle="1" w:styleId="128">
    <w:name w:val="其他发布部门"/>
    <w:basedOn w:val="98"/>
    <w:qFormat/>
    <w:uiPriority w:val="0"/>
    <w:pPr>
      <w:spacing w:line="0" w:lineRule="atLeast"/>
    </w:pPr>
    <w:rPr>
      <w:rFonts w:ascii="黑体" w:eastAsia="黑体"/>
      <w:b w:val="0"/>
    </w:rPr>
  </w:style>
  <w:style w:type="paragraph" w:customStyle="1" w:styleId="129">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30">
    <w:name w:val="三级无标题条"/>
    <w:basedOn w:val="1"/>
    <w:qFormat/>
    <w:uiPriority w:val="0"/>
    <w:pPr>
      <w:numPr>
        <w:ilvl w:val="4"/>
        <w:numId w:val="20"/>
      </w:numPr>
      <w:adjustRightInd/>
      <w:spacing w:line="240" w:lineRule="auto"/>
    </w:pPr>
    <w:rPr>
      <w:rFonts w:ascii="宋体" w:hAnsi="宋体"/>
      <w:szCs w:val="24"/>
    </w:rPr>
  </w:style>
  <w:style w:type="paragraph" w:customStyle="1" w:styleId="131">
    <w:name w:val="实施日期"/>
    <w:basedOn w:val="99"/>
    <w:uiPriority w:val="0"/>
    <w:pPr>
      <w:jc w:val="right"/>
    </w:pPr>
  </w:style>
  <w:style w:type="paragraph" w:customStyle="1" w:styleId="132">
    <w:name w:val="四级无标题条"/>
    <w:basedOn w:val="1"/>
    <w:uiPriority w:val="0"/>
    <w:pPr>
      <w:numPr>
        <w:ilvl w:val="5"/>
        <w:numId w:val="20"/>
      </w:numPr>
      <w:adjustRightInd/>
      <w:spacing w:line="240" w:lineRule="auto"/>
    </w:pPr>
    <w:rPr>
      <w:rFonts w:ascii="宋体" w:hAnsi="宋体"/>
      <w:szCs w:val="24"/>
    </w:rPr>
  </w:style>
  <w:style w:type="paragraph" w:customStyle="1" w:styleId="133">
    <w:name w:val="文献分类号"/>
    <w:uiPriority w:val="0"/>
    <w:pPr>
      <w:widowControl w:val="0"/>
      <w:textAlignment w:val="center"/>
    </w:pPr>
    <w:rPr>
      <w:rFonts w:ascii="Times New Roman" w:hAnsi="Times New Roman" w:eastAsia="黑体" w:cs="Times New Roman"/>
      <w:sz w:val="21"/>
      <w:lang w:val="en-US" w:eastAsia="zh-CN" w:bidi="ar-SA"/>
    </w:rPr>
  </w:style>
  <w:style w:type="paragraph" w:customStyle="1" w:styleId="134">
    <w:name w:val="无标题条"/>
    <w:next w:val="40"/>
    <w:uiPriority w:val="0"/>
    <w:pPr>
      <w:jc w:val="both"/>
    </w:pPr>
    <w:rPr>
      <w:rFonts w:ascii="宋体" w:hAnsi="宋体" w:eastAsia="宋体" w:cs="Times New Roman"/>
      <w:sz w:val="21"/>
      <w:lang w:val="en-US" w:eastAsia="zh-CN" w:bidi="ar-SA"/>
    </w:rPr>
  </w:style>
  <w:style w:type="paragraph" w:customStyle="1" w:styleId="135">
    <w:name w:val="五级无标题条"/>
    <w:basedOn w:val="1"/>
    <w:uiPriority w:val="0"/>
    <w:pPr>
      <w:numPr>
        <w:ilvl w:val="6"/>
        <w:numId w:val="20"/>
      </w:numPr>
      <w:adjustRightInd/>
    </w:pPr>
    <w:rPr>
      <w:szCs w:val="24"/>
    </w:rPr>
  </w:style>
  <w:style w:type="paragraph" w:customStyle="1" w:styleId="136">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37">
    <w:name w:val="注:后续"/>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38">
    <w:name w:val="注×:后续"/>
    <w:basedOn w:val="137"/>
    <w:qFormat/>
    <w:uiPriority w:val="0"/>
    <w:pPr>
      <w:ind w:left="1406" w:leftChars="0" w:hanging="499" w:firstLineChars="0"/>
    </w:pPr>
  </w:style>
  <w:style w:type="paragraph" w:customStyle="1" w:styleId="139">
    <w:name w:val="标准文件_一级无标题"/>
    <w:basedOn w:val="84"/>
    <w:qFormat/>
    <w:uiPriority w:val="0"/>
    <w:pPr>
      <w:spacing w:beforeLines="50" w:afterLines="50"/>
      <w:outlineLvl w:val="9"/>
    </w:pPr>
    <w:rPr>
      <w:rFonts w:ascii="宋体" w:eastAsia="宋体"/>
    </w:rPr>
  </w:style>
  <w:style w:type="paragraph" w:customStyle="1" w:styleId="140">
    <w:name w:val="标准文件_五级无标题"/>
    <w:basedOn w:val="82"/>
    <w:qFormat/>
    <w:uiPriority w:val="0"/>
    <w:pPr>
      <w:spacing w:beforeLines="50" w:afterLines="50"/>
      <w:outlineLvl w:val="9"/>
    </w:pPr>
    <w:rPr>
      <w:rFonts w:ascii="宋体" w:eastAsia="宋体"/>
    </w:rPr>
  </w:style>
  <w:style w:type="paragraph" w:customStyle="1" w:styleId="141">
    <w:name w:val="标准文件_三级无标题"/>
    <w:basedOn w:val="76"/>
    <w:qFormat/>
    <w:uiPriority w:val="0"/>
    <w:pPr>
      <w:spacing w:before="0" w:after="0"/>
      <w:outlineLvl w:val="9"/>
    </w:pPr>
    <w:rPr>
      <w:rFonts w:ascii="宋体" w:eastAsia="宋体"/>
    </w:rPr>
  </w:style>
  <w:style w:type="paragraph" w:customStyle="1" w:styleId="142">
    <w:name w:val="标准文件_二级无标题"/>
    <w:basedOn w:val="49"/>
    <w:qFormat/>
    <w:uiPriority w:val="0"/>
    <w:pPr>
      <w:spacing w:beforeLines="50" w:afterLines="50"/>
      <w:outlineLvl w:val="9"/>
    </w:pPr>
    <w:rPr>
      <w:rFonts w:ascii="宋体" w:eastAsia="宋体"/>
    </w:rPr>
  </w:style>
  <w:style w:type="paragraph" w:customStyle="1" w:styleId="143">
    <w:name w:val="标准_四级无标题"/>
    <w:basedOn w:val="79"/>
    <w:next w:val="40"/>
    <w:qFormat/>
    <w:uiPriority w:val="0"/>
    <w:rPr>
      <w:rFonts w:eastAsia="宋体"/>
    </w:rPr>
  </w:style>
  <w:style w:type="paragraph" w:customStyle="1" w:styleId="144">
    <w:name w:val="标准文件_四级无标题"/>
    <w:basedOn w:val="79"/>
    <w:qFormat/>
    <w:uiPriority w:val="0"/>
    <w:pPr>
      <w:spacing w:beforeLines="50" w:afterLines="50"/>
      <w:outlineLvl w:val="9"/>
    </w:pPr>
    <w:rPr>
      <w:rFonts w:ascii="宋体" w:hAnsi="黑体" w:eastAsia="宋体"/>
      <w:szCs w:val="52"/>
    </w:rPr>
  </w:style>
  <w:style w:type="paragraph" w:customStyle="1" w:styleId="145">
    <w:name w:val="标准文件_大写罗马数字编号列项"/>
    <w:basedOn w:val="40"/>
    <w:uiPriority w:val="0"/>
    <w:pPr>
      <w:numPr>
        <w:ilvl w:val="0"/>
        <w:numId w:val="23"/>
      </w:numPr>
      <w:ind w:firstLine="0" w:firstLineChars="0"/>
    </w:pPr>
    <w:rPr>
      <w:rFonts w:ascii="Times New Roman" w:cs="Arial"/>
      <w:szCs w:val="28"/>
    </w:rPr>
  </w:style>
  <w:style w:type="paragraph" w:customStyle="1" w:styleId="146">
    <w:name w:val="标准文件_小写罗马数字编号列项"/>
    <w:basedOn w:val="40"/>
    <w:qFormat/>
    <w:uiPriority w:val="0"/>
    <w:pPr>
      <w:numPr>
        <w:ilvl w:val="0"/>
        <w:numId w:val="24"/>
      </w:numPr>
      <w:ind w:firstLine="0" w:firstLineChars="0"/>
    </w:pPr>
    <w:rPr>
      <w:rFonts w:cs="Arial"/>
      <w:szCs w:val="28"/>
    </w:rPr>
  </w:style>
  <w:style w:type="paragraph" w:customStyle="1" w:styleId="147">
    <w:name w:val="标准文件_附录标题"/>
    <w:basedOn w:val="59"/>
    <w:qFormat/>
    <w:uiPriority w:val="0"/>
    <w:pPr>
      <w:numPr>
        <w:ilvl w:val="0"/>
        <w:numId w:val="0"/>
      </w:numPr>
      <w:spacing w:afterLines="50"/>
      <w:outlineLvl w:val="9"/>
    </w:pPr>
  </w:style>
  <w:style w:type="paragraph" w:customStyle="1" w:styleId="148">
    <w:name w:val="标准文件_二级项"/>
    <w:uiPriority w:val="0"/>
    <w:rPr>
      <w:rFonts w:ascii="宋体" w:hAnsi="Times New Roman" w:eastAsia="宋体" w:cs="Times New Roman"/>
      <w:sz w:val="21"/>
      <w:lang w:val="en-US" w:eastAsia="zh-CN" w:bidi="ar-SA"/>
    </w:rPr>
  </w:style>
  <w:style w:type="paragraph" w:customStyle="1" w:styleId="149">
    <w:name w:val="标准文件_三级项"/>
    <w:basedOn w:val="1"/>
    <w:qFormat/>
    <w:uiPriority w:val="0"/>
    <w:pPr>
      <w:numPr>
        <w:ilvl w:val="2"/>
        <w:numId w:val="21"/>
      </w:numPr>
      <w:tabs>
        <w:tab w:val="left" w:pos="851"/>
      </w:tabs>
      <w:spacing w:line="300" w:lineRule="exact"/>
    </w:pPr>
    <w:rPr>
      <w:rFonts w:ascii="Times New Roman" w:hAnsi="Times New Roman"/>
    </w:rPr>
  </w:style>
  <w:style w:type="paragraph" w:customStyle="1" w:styleId="150">
    <w:name w:val="图表脚注说明"/>
    <w:basedOn w:val="1"/>
    <w:next w:val="40"/>
    <w:qFormat/>
    <w:uiPriority w:val="0"/>
    <w:pPr>
      <w:numPr>
        <w:ilvl w:val="0"/>
        <w:numId w:val="25"/>
      </w:numPr>
      <w:adjustRightInd/>
      <w:spacing w:line="240" w:lineRule="auto"/>
      <w:ind w:left="783"/>
    </w:pPr>
    <w:rPr>
      <w:rFonts w:ascii="宋体" w:hAnsi="Times New Roman"/>
      <w:sz w:val="18"/>
      <w:szCs w:val="18"/>
    </w:rPr>
  </w:style>
  <w:style w:type="paragraph" w:customStyle="1" w:styleId="151">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52">
    <w:name w:val="标准文件_索引字母"/>
    <w:next w:val="40"/>
    <w:qFormat/>
    <w:uiPriority w:val="0"/>
    <w:pPr>
      <w:jc w:val="center"/>
    </w:pPr>
    <w:rPr>
      <w:rFonts w:ascii="宋体" w:hAnsi="宋体" w:eastAsia="Times New Roman" w:cs="Times New Roman"/>
      <w:b/>
      <w:kern w:val="2"/>
      <w:sz w:val="21"/>
      <w:lang w:val="en-US" w:eastAsia="zh-CN" w:bidi="ar-SA"/>
    </w:rPr>
  </w:style>
  <w:style w:type="paragraph" w:customStyle="1" w:styleId="153">
    <w:name w:val="标准文件_附录前"/>
    <w:next w:val="40"/>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54">
    <w:name w:val="标准文件_正文标准名称"/>
    <w:qFormat/>
    <w:uiPriority w:val="0"/>
    <w:pPr>
      <w:spacing w:beforeLines="20" w:after="640" w:line="400" w:lineRule="exact"/>
      <w:jc w:val="center"/>
    </w:pPr>
    <w:rPr>
      <w:rFonts w:ascii="黑体" w:hAnsi="黑体" w:eastAsia="黑体" w:cs="Times New Roman"/>
      <w:kern w:val="2"/>
      <w:sz w:val="32"/>
      <w:szCs w:val="32"/>
      <w:lang w:val="en-US" w:eastAsia="zh-CN" w:bidi="ar-SA"/>
    </w:rPr>
  </w:style>
  <w:style w:type="paragraph" w:customStyle="1" w:styleId="155">
    <w:name w:val="标准文件_表格"/>
    <w:basedOn w:val="40"/>
    <w:qFormat/>
    <w:uiPriority w:val="0"/>
    <w:pPr>
      <w:ind w:firstLine="0" w:firstLineChars="0"/>
      <w:jc w:val="center"/>
    </w:pPr>
    <w:rPr>
      <w:sz w:val="18"/>
    </w:rPr>
  </w:style>
  <w:style w:type="paragraph" w:customStyle="1" w:styleId="156">
    <w:name w:val="标准文件_注："/>
    <w:next w:val="40"/>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57">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58">
    <w:name w:val="标准文件_示例："/>
    <w:next w:val="159"/>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59">
    <w:name w:val="标准文件_示例内容"/>
    <w:basedOn w:val="40"/>
    <w:qFormat/>
    <w:uiPriority w:val="0"/>
    <w:pPr>
      <w:ind w:firstLine="420"/>
    </w:pPr>
    <w:rPr>
      <w:sz w:val="18"/>
    </w:rPr>
  </w:style>
  <w:style w:type="paragraph" w:customStyle="1" w:styleId="160">
    <w:name w:val="标准文件_示例×："/>
    <w:basedOn w:val="1"/>
    <w:next w:val="159"/>
    <w:qFormat/>
    <w:uiPriority w:val="0"/>
    <w:pPr>
      <w:widowControl/>
      <w:numPr>
        <w:ilvl w:val="0"/>
        <w:numId w:val="29"/>
      </w:numPr>
      <w:adjustRightInd/>
      <w:spacing w:line="240" w:lineRule="auto"/>
    </w:pPr>
    <w:rPr>
      <w:rFonts w:ascii="宋体" w:hAnsi="Times New Roman"/>
      <w:kern w:val="0"/>
      <w:sz w:val="18"/>
      <w:szCs w:val="18"/>
    </w:rPr>
  </w:style>
  <w:style w:type="paragraph" w:customStyle="1" w:styleId="161">
    <w:name w:val="标准文件_表格续"/>
    <w:basedOn w:val="40"/>
    <w:next w:val="40"/>
    <w:qFormat/>
    <w:uiPriority w:val="0"/>
    <w:pPr>
      <w:jc w:val="center"/>
    </w:pPr>
    <w:rPr>
      <w:rFonts w:ascii="黑体" w:hAnsi="黑体" w:eastAsia="黑体"/>
    </w:rPr>
  </w:style>
  <w:style w:type="paragraph" w:customStyle="1" w:styleId="162">
    <w:name w:val="标准文件_二级项2"/>
    <w:basedOn w:val="40"/>
    <w:qFormat/>
    <w:uiPriority w:val="0"/>
    <w:pPr>
      <w:numPr>
        <w:ilvl w:val="1"/>
        <w:numId w:val="21"/>
      </w:numPr>
      <w:tabs>
        <w:tab w:val="left" w:pos="851"/>
      </w:tabs>
      <w:ind w:left="1271" w:hanging="420" w:firstLineChars="0"/>
    </w:pPr>
  </w:style>
  <w:style w:type="paragraph" w:customStyle="1" w:styleId="163">
    <w:name w:val="标准文件_三级项2"/>
    <w:basedOn w:val="40"/>
    <w:qFormat/>
    <w:uiPriority w:val="0"/>
    <w:pPr>
      <w:numPr>
        <w:ilvl w:val="0"/>
        <w:numId w:val="30"/>
      </w:numPr>
      <w:spacing w:line="300" w:lineRule="exact"/>
      <w:ind w:left="1276" w:hanging="425" w:firstLineChars="0"/>
    </w:pPr>
    <w:rPr>
      <w:rFonts w:ascii="Times New Roman"/>
    </w:rPr>
  </w:style>
  <w:style w:type="paragraph" w:customStyle="1" w:styleId="164">
    <w:name w:val="标准文件_一级项2"/>
    <w:basedOn w:val="40"/>
    <w:qFormat/>
    <w:uiPriority w:val="0"/>
    <w:pPr>
      <w:numPr>
        <w:ilvl w:val="0"/>
        <w:numId w:val="31"/>
      </w:numPr>
      <w:spacing w:line="300" w:lineRule="exact"/>
      <w:ind w:left="1271" w:hanging="420" w:firstLineChars="0"/>
    </w:pPr>
    <w:rPr>
      <w:rFonts w:ascii="Times New Roman"/>
    </w:rPr>
  </w:style>
  <w:style w:type="paragraph" w:customStyle="1" w:styleId="165">
    <w:name w:val="标准文件_提示"/>
    <w:basedOn w:val="40"/>
    <w:next w:val="40"/>
    <w:qFormat/>
    <w:uiPriority w:val="0"/>
    <w:pPr>
      <w:ind w:firstLine="420"/>
    </w:pPr>
    <w:rPr>
      <w:rFonts w:ascii="黑体" w:eastAsia="黑体"/>
    </w:rPr>
  </w:style>
  <w:style w:type="paragraph" w:customStyle="1" w:styleId="166">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67">
    <w:name w:val="其他发布日期"/>
    <w:basedOn w:val="99"/>
    <w:uiPriority w:val="0"/>
  </w:style>
  <w:style w:type="paragraph" w:customStyle="1" w:styleId="168">
    <w:name w:val="其他实施日期"/>
    <w:basedOn w:val="131"/>
    <w:qFormat/>
    <w:uiPriority w:val="0"/>
  </w:style>
  <w:style w:type="paragraph" w:customStyle="1" w:styleId="169">
    <w:name w:val="标准文件_文件编号"/>
    <w:basedOn w:val="40"/>
    <w:qFormat/>
    <w:uiPriority w:val="0"/>
    <w:pPr>
      <w:wordWrap w:val="0"/>
      <w:spacing w:line="280" w:lineRule="exact"/>
      <w:ind w:firstLine="0" w:firstLineChars="0"/>
      <w:jc w:val="right"/>
    </w:pPr>
    <w:rPr>
      <w:rFonts w:ascii="黑体" w:eastAsia="黑体"/>
      <w:bCs/>
      <w:sz w:val="28"/>
      <w:szCs w:val="28"/>
    </w:rPr>
  </w:style>
  <w:style w:type="paragraph" w:customStyle="1" w:styleId="170">
    <w:name w:val="标准文件_替换文件编号"/>
    <w:basedOn w:val="169"/>
    <w:qFormat/>
    <w:uiPriority w:val="0"/>
    <w:pPr>
      <w:spacing w:before="57"/>
    </w:pPr>
    <w:rPr>
      <w:sz w:val="21"/>
    </w:rPr>
  </w:style>
  <w:style w:type="paragraph" w:customStyle="1" w:styleId="171">
    <w:name w:val="标准文件_文件名称"/>
    <w:basedOn w:val="40"/>
    <w:next w:val="40"/>
    <w:qFormat/>
    <w:uiPriority w:val="0"/>
    <w:pPr>
      <w:spacing w:line="700" w:lineRule="exact"/>
      <w:ind w:firstLine="0" w:firstLineChars="0"/>
      <w:jc w:val="center"/>
    </w:pPr>
    <w:rPr>
      <w:rFonts w:ascii="黑体" w:hAnsi="黑体" w:eastAsia="黑体"/>
      <w:bCs/>
      <w:sz w:val="52"/>
    </w:rPr>
  </w:style>
  <w:style w:type="paragraph" w:customStyle="1" w:styleId="172">
    <w:name w:val="标准文件_附录图标号"/>
    <w:basedOn w:val="40"/>
    <w:next w:val="40"/>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73">
    <w:name w:val="标准文件_附录表标号"/>
    <w:basedOn w:val="40"/>
    <w:next w:val="40"/>
    <w:qFormat/>
    <w:uiPriority w:val="0"/>
    <w:pPr>
      <w:numPr>
        <w:ilvl w:val="0"/>
        <w:numId w:val="5"/>
      </w:numPr>
      <w:spacing w:line="14" w:lineRule="exact"/>
      <w:ind w:firstLine="0" w:firstLineChars="0"/>
      <w:jc w:val="center"/>
    </w:pPr>
    <w:rPr>
      <w:rFonts w:eastAsia="黑体"/>
      <w:vanish/>
      <w:sz w:val="2"/>
    </w:rPr>
  </w:style>
  <w:style w:type="paragraph" w:customStyle="1" w:styleId="174">
    <w:name w:val="标准文件_引言一级条标题"/>
    <w:basedOn w:val="40"/>
    <w:next w:val="40"/>
    <w:qFormat/>
    <w:uiPriority w:val="0"/>
    <w:pPr>
      <w:numPr>
        <w:ilvl w:val="1"/>
        <w:numId w:val="8"/>
      </w:numPr>
      <w:spacing w:beforeLines="50" w:afterLines="50"/>
      <w:ind w:firstLineChars="0"/>
    </w:pPr>
    <w:rPr>
      <w:rFonts w:ascii="黑体" w:eastAsia="黑体"/>
    </w:rPr>
  </w:style>
  <w:style w:type="paragraph" w:customStyle="1" w:styleId="175">
    <w:name w:val="标准文件_引言二级条标题"/>
    <w:basedOn w:val="40"/>
    <w:next w:val="40"/>
    <w:qFormat/>
    <w:uiPriority w:val="0"/>
    <w:pPr>
      <w:numPr>
        <w:ilvl w:val="2"/>
        <w:numId w:val="8"/>
      </w:numPr>
      <w:spacing w:beforeLines="50" w:afterLines="50"/>
      <w:ind w:firstLineChars="0"/>
    </w:pPr>
    <w:rPr>
      <w:rFonts w:ascii="黑体" w:eastAsia="黑体"/>
    </w:rPr>
  </w:style>
  <w:style w:type="paragraph" w:customStyle="1" w:styleId="176">
    <w:name w:val="标准文件_引言三级条标题"/>
    <w:basedOn w:val="40"/>
    <w:next w:val="40"/>
    <w:qFormat/>
    <w:uiPriority w:val="0"/>
    <w:pPr>
      <w:numPr>
        <w:ilvl w:val="3"/>
        <w:numId w:val="8"/>
      </w:numPr>
      <w:spacing w:beforeLines="50" w:afterLines="50"/>
      <w:ind w:firstLineChars="0"/>
    </w:pPr>
    <w:rPr>
      <w:rFonts w:ascii="黑体" w:eastAsia="黑体"/>
    </w:rPr>
  </w:style>
  <w:style w:type="paragraph" w:customStyle="1" w:styleId="177">
    <w:name w:val="标准文件_引言四级条标题"/>
    <w:basedOn w:val="40"/>
    <w:next w:val="40"/>
    <w:qFormat/>
    <w:uiPriority w:val="0"/>
    <w:pPr>
      <w:numPr>
        <w:ilvl w:val="4"/>
        <w:numId w:val="8"/>
      </w:numPr>
      <w:spacing w:beforeLines="50" w:afterLines="50"/>
      <w:ind w:firstLineChars="0"/>
    </w:pPr>
    <w:rPr>
      <w:rFonts w:ascii="黑体" w:eastAsia="黑体"/>
    </w:rPr>
  </w:style>
  <w:style w:type="paragraph" w:customStyle="1" w:styleId="178">
    <w:name w:val="标准文件_引言五级条标题"/>
    <w:basedOn w:val="40"/>
    <w:next w:val="40"/>
    <w:qFormat/>
    <w:uiPriority w:val="0"/>
    <w:pPr>
      <w:numPr>
        <w:ilvl w:val="5"/>
        <w:numId w:val="8"/>
      </w:numPr>
      <w:spacing w:beforeLines="50" w:afterLines="50"/>
      <w:ind w:firstLineChars="0"/>
    </w:pPr>
    <w:rPr>
      <w:rFonts w:ascii="黑体" w:eastAsia="黑体"/>
    </w:rPr>
  </w:style>
  <w:style w:type="paragraph" w:customStyle="1" w:styleId="179">
    <w:name w:val="标准文件_注后"/>
    <w:basedOn w:val="40"/>
    <w:qFormat/>
    <w:uiPriority w:val="0"/>
    <w:pPr>
      <w:ind w:left="811" w:firstLine="0" w:firstLineChars="0"/>
    </w:pPr>
    <w:rPr>
      <w:sz w:val="18"/>
    </w:rPr>
  </w:style>
  <w:style w:type="paragraph" w:customStyle="1" w:styleId="180">
    <w:name w:val="标准文件_注X后"/>
    <w:basedOn w:val="40"/>
    <w:qFormat/>
    <w:uiPriority w:val="0"/>
    <w:pPr>
      <w:ind w:left="811" w:firstLine="0" w:firstLineChars="0"/>
    </w:pPr>
    <w:rPr>
      <w:sz w:val="18"/>
    </w:rPr>
  </w:style>
  <w:style w:type="paragraph" w:customStyle="1" w:styleId="181">
    <w:name w:val="标准文件_示例后"/>
    <w:basedOn w:val="40"/>
    <w:qFormat/>
    <w:uiPriority w:val="0"/>
    <w:pPr>
      <w:ind w:left="964" w:firstLine="0" w:firstLineChars="0"/>
    </w:pPr>
    <w:rPr>
      <w:sz w:val="18"/>
    </w:rPr>
  </w:style>
  <w:style w:type="paragraph" w:customStyle="1" w:styleId="182">
    <w:name w:val="标准文件_示例X后"/>
    <w:basedOn w:val="40"/>
    <w:link w:val="227"/>
    <w:qFormat/>
    <w:uiPriority w:val="0"/>
    <w:pPr>
      <w:ind w:left="1049" w:firstLine="0" w:firstLineChars="0"/>
    </w:pPr>
    <w:rPr>
      <w:sz w:val="18"/>
    </w:rPr>
  </w:style>
  <w:style w:type="paragraph" w:customStyle="1" w:styleId="183">
    <w:name w:val="标准文件_索引项"/>
    <w:basedOn w:val="40"/>
    <w:next w:val="40"/>
    <w:qFormat/>
    <w:uiPriority w:val="0"/>
    <w:pPr>
      <w:tabs>
        <w:tab w:val="right" w:leader="dot" w:pos="9356"/>
      </w:tabs>
      <w:ind w:left="210" w:hanging="210" w:firstLineChars="0"/>
      <w:jc w:val="left"/>
    </w:pPr>
  </w:style>
  <w:style w:type="paragraph" w:customStyle="1" w:styleId="184">
    <w:name w:val="标准文件_附录一级无标题"/>
    <w:basedOn w:val="61"/>
    <w:qFormat/>
    <w:uiPriority w:val="0"/>
    <w:pPr>
      <w:spacing w:beforeLines="50" w:afterLines="50" w:line="276" w:lineRule="auto"/>
      <w:outlineLvl w:val="9"/>
    </w:pPr>
    <w:rPr>
      <w:rFonts w:ascii="宋体" w:eastAsia="宋体"/>
    </w:rPr>
  </w:style>
  <w:style w:type="paragraph" w:customStyle="1" w:styleId="185">
    <w:name w:val="标准文件_附录二级无标题"/>
    <w:basedOn w:val="62"/>
    <w:qFormat/>
    <w:uiPriority w:val="0"/>
    <w:pPr>
      <w:spacing w:before="0" w:after="0" w:line="276" w:lineRule="auto"/>
      <w:outlineLvl w:val="9"/>
    </w:pPr>
    <w:rPr>
      <w:rFonts w:ascii="宋体" w:eastAsia="宋体"/>
    </w:rPr>
  </w:style>
  <w:style w:type="paragraph" w:customStyle="1" w:styleId="186">
    <w:name w:val="标准文件_附录三级无标题"/>
    <w:basedOn w:val="64"/>
    <w:qFormat/>
    <w:uiPriority w:val="0"/>
    <w:pPr>
      <w:spacing w:beforeLines="50" w:afterLines="50" w:line="276" w:lineRule="auto"/>
      <w:outlineLvl w:val="9"/>
    </w:pPr>
    <w:rPr>
      <w:rFonts w:ascii="宋体" w:eastAsia="宋体"/>
    </w:rPr>
  </w:style>
  <w:style w:type="paragraph" w:customStyle="1" w:styleId="187">
    <w:name w:val="标准文件_附录四级无标题"/>
    <w:basedOn w:val="65"/>
    <w:qFormat/>
    <w:uiPriority w:val="0"/>
    <w:pPr>
      <w:spacing w:beforeLines="50" w:afterLines="50" w:line="276" w:lineRule="auto"/>
      <w:outlineLvl w:val="9"/>
    </w:pPr>
    <w:rPr>
      <w:rFonts w:ascii="宋体" w:eastAsia="宋体"/>
    </w:rPr>
  </w:style>
  <w:style w:type="paragraph" w:customStyle="1" w:styleId="188">
    <w:name w:val="标准文件_附录五级无标题"/>
    <w:basedOn w:val="67"/>
    <w:qFormat/>
    <w:uiPriority w:val="0"/>
    <w:pPr>
      <w:spacing w:beforeLines="50" w:afterLines="50" w:line="276" w:lineRule="auto"/>
      <w:outlineLvl w:val="9"/>
    </w:pPr>
    <w:rPr>
      <w:rFonts w:ascii="宋体" w:eastAsia="宋体"/>
    </w:rPr>
  </w:style>
  <w:style w:type="paragraph" w:customStyle="1" w:styleId="189">
    <w:name w:val="标准文件_引言一级无标题"/>
    <w:basedOn w:val="174"/>
    <w:next w:val="40"/>
    <w:qFormat/>
    <w:uiPriority w:val="0"/>
    <w:pPr>
      <w:spacing w:beforeLines="50" w:afterLines="50" w:line="276" w:lineRule="auto"/>
    </w:pPr>
    <w:rPr>
      <w:rFonts w:ascii="宋体" w:eastAsia="宋体"/>
    </w:rPr>
  </w:style>
  <w:style w:type="paragraph" w:customStyle="1" w:styleId="190">
    <w:name w:val="标准文件_引言二级无标题"/>
    <w:basedOn w:val="175"/>
    <w:next w:val="40"/>
    <w:qFormat/>
    <w:uiPriority w:val="0"/>
    <w:pPr>
      <w:spacing w:beforeLines="50" w:afterLines="50" w:line="276" w:lineRule="auto"/>
    </w:pPr>
    <w:rPr>
      <w:rFonts w:ascii="宋体" w:eastAsia="宋体"/>
    </w:rPr>
  </w:style>
  <w:style w:type="paragraph" w:customStyle="1" w:styleId="191">
    <w:name w:val="标准文件_引言三级无标题"/>
    <w:basedOn w:val="176"/>
    <w:next w:val="40"/>
    <w:qFormat/>
    <w:uiPriority w:val="0"/>
    <w:pPr>
      <w:spacing w:beforeLines="50" w:afterLines="50" w:line="276" w:lineRule="auto"/>
    </w:pPr>
    <w:rPr>
      <w:rFonts w:ascii="宋体" w:eastAsia="宋体"/>
    </w:rPr>
  </w:style>
  <w:style w:type="paragraph" w:customStyle="1" w:styleId="192">
    <w:name w:val="标准文件_引言四级无标题"/>
    <w:basedOn w:val="177"/>
    <w:next w:val="40"/>
    <w:qFormat/>
    <w:uiPriority w:val="0"/>
    <w:pPr>
      <w:spacing w:beforeLines="50" w:afterLines="50" w:line="276" w:lineRule="auto"/>
    </w:pPr>
    <w:rPr>
      <w:rFonts w:ascii="宋体" w:eastAsia="宋体"/>
    </w:rPr>
  </w:style>
  <w:style w:type="paragraph" w:customStyle="1" w:styleId="193">
    <w:name w:val="标准文件_引言五级无标题"/>
    <w:basedOn w:val="178"/>
    <w:next w:val="40"/>
    <w:qFormat/>
    <w:uiPriority w:val="0"/>
    <w:pPr>
      <w:spacing w:beforeLines="50" w:afterLines="50" w:line="276" w:lineRule="auto"/>
    </w:pPr>
    <w:rPr>
      <w:rFonts w:ascii="宋体" w:eastAsia="宋体"/>
    </w:rPr>
  </w:style>
  <w:style w:type="paragraph" w:customStyle="1" w:styleId="194">
    <w:name w:val="标准文件_索引标题"/>
    <w:basedOn w:val="47"/>
    <w:next w:val="40"/>
    <w:qFormat/>
    <w:uiPriority w:val="0"/>
    <w:rPr>
      <w:rFonts w:hAnsi="黑体"/>
    </w:rPr>
  </w:style>
  <w:style w:type="paragraph" w:customStyle="1" w:styleId="195">
    <w:name w:val="标准文件_脚注内容"/>
    <w:basedOn w:val="40"/>
    <w:qFormat/>
    <w:uiPriority w:val="0"/>
    <w:pPr>
      <w:ind w:left="400" w:leftChars="200" w:hanging="200" w:hangingChars="200"/>
    </w:pPr>
    <w:rPr>
      <w:sz w:val="15"/>
    </w:rPr>
  </w:style>
  <w:style w:type="paragraph" w:customStyle="1" w:styleId="196">
    <w:name w:val="标准文件_术语条一"/>
    <w:basedOn w:val="139"/>
    <w:next w:val="40"/>
    <w:qFormat/>
    <w:uiPriority w:val="0"/>
  </w:style>
  <w:style w:type="paragraph" w:customStyle="1" w:styleId="197">
    <w:name w:val="标准文件_术语条二"/>
    <w:basedOn w:val="142"/>
    <w:next w:val="40"/>
    <w:qFormat/>
    <w:uiPriority w:val="0"/>
  </w:style>
  <w:style w:type="paragraph" w:customStyle="1" w:styleId="198">
    <w:name w:val="标准文件_术语条三"/>
    <w:basedOn w:val="141"/>
    <w:next w:val="40"/>
    <w:qFormat/>
    <w:uiPriority w:val="0"/>
  </w:style>
  <w:style w:type="paragraph" w:customStyle="1" w:styleId="199">
    <w:name w:val="标准文件_术语条四"/>
    <w:basedOn w:val="144"/>
    <w:next w:val="40"/>
    <w:qFormat/>
    <w:uiPriority w:val="0"/>
  </w:style>
  <w:style w:type="paragraph" w:customStyle="1" w:styleId="200">
    <w:name w:val="标准文件_术语条五"/>
    <w:basedOn w:val="140"/>
    <w:next w:val="40"/>
    <w:qFormat/>
    <w:uiPriority w:val="0"/>
  </w:style>
  <w:style w:type="paragraph" w:customStyle="1" w:styleId="201">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customStyle="1" w:styleId="202">
    <w:name w:val="段"/>
    <w:link w:val="229"/>
    <w:qFormat/>
    <w:uiPriority w:val="0"/>
    <w:pPr>
      <w:tabs>
        <w:tab w:val="center" w:pos="4201"/>
        <w:tab w:val="right" w:leader="dot" w:pos="9298"/>
      </w:tabs>
      <w:autoSpaceDE w:val="0"/>
      <w:autoSpaceDN w:val="0"/>
      <w:ind w:firstLine="420" w:firstLineChars="200"/>
      <w:jc w:val="both"/>
    </w:pPr>
    <w:rPr>
      <w:rFonts w:ascii="宋体" w:hAnsi="宋体" w:eastAsia="宋体" w:cs="Times New Roman"/>
      <w:sz w:val="21"/>
      <w:lang w:val="en-US" w:eastAsia="zh-CN" w:bidi="ar-SA"/>
    </w:rPr>
  </w:style>
  <w:style w:type="character" w:customStyle="1" w:styleId="203">
    <w:name w:val="标题 1 Char"/>
    <w:link w:val="2"/>
    <w:qFormat/>
    <w:uiPriority w:val="0"/>
    <w:rPr>
      <w:rFonts w:ascii="Times New Roman" w:hAnsi="Times New Roman" w:eastAsia="宋体" w:cs="Times New Roman"/>
      <w:b/>
      <w:bCs/>
      <w:kern w:val="44"/>
      <w:sz w:val="44"/>
      <w:szCs w:val="44"/>
    </w:rPr>
  </w:style>
  <w:style w:type="character" w:customStyle="1" w:styleId="204">
    <w:name w:val="标题 2 Char"/>
    <w:link w:val="3"/>
    <w:qFormat/>
    <w:uiPriority w:val="0"/>
    <w:rPr>
      <w:rFonts w:ascii="Arial" w:hAnsi="Arial" w:eastAsia="黑体" w:cs="Times New Roman"/>
      <w:b/>
      <w:bCs/>
      <w:sz w:val="32"/>
      <w:szCs w:val="32"/>
    </w:rPr>
  </w:style>
  <w:style w:type="character" w:customStyle="1" w:styleId="205">
    <w:name w:val="标题 3 Char"/>
    <w:link w:val="4"/>
    <w:qFormat/>
    <w:uiPriority w:val="0"/>
    <w:rPr>
      <w:rFonts w:ascii="Times New Roman" w:hAnsi="Times New Roman" w:eastAsia="宋体" w:cs="Times New Roman"/>
      <w:b/>
      <w:bCs/>
      <w:sz w:val="32"/>
      <w:szCs w:val="32"/>
    </w:rPr>
  </w:style>
  <w:style w:type="character" w:customStyle="1" w:styleId="206">
    <w:name w:val="标题 4 Char"/>
    <w:link w:val="5"/>
    <w:qFormat/>
    <w:uiPriority w:val="0"/>
    <w:rPr>
      <w:rFonts w:ascii="Arial" w:hAnsi="Arial" w:eastAsia="黑体" w:cs="Times New Roman"/>
      <w:b/>
      <w:bCs/>
      <w:sz w:val="28"/>
      <w:szCs w:val="28"/>
    </w:rPr>
  </w:style>
  <w:style w:type="character" w:customStyle="1" w:styleId="207">
    <w:name w:val="标题 5 Char"/>
    <w:link w:val="6"/>
    <w:qFormat/>
    <w:uiPriority w:val="0"/>
    <w:rPr>
      <w:rFonts w:ascii="Times New Roman" w:hAnsi="Times New Roman" w:eastAsia="宋体" w:cs="Times New Roman"/>
      <w:b/>
      <w:bCs/>
      <w:sz w:val="28"/>
      <w:szCs w:val="28"/>
    </w:rPr>
  </w:style>
  <w:style w:type="character" w:customStyle="1" w:styleId="208">
    <w:name w:val="标题 6 Char"/>
    <w:link w:val="7"/>
    <w:qFormat/>
    <w:uiPriority w:val="0"/>
    <w:rPr>
      <w:rFonts w:ascii="Arial" w:hAnsi="Arial" w:eastAsia="黑体" w:cs="Times New Roman"/>
      <w:b/>
      <w:bCs/>
      <w:sz w:val="24"/>
      <w:szCs w:val="24"/>
    </w:rPr>
  </w:style>
  <w:style w:type="character" w:customStyle="1" w:styleId="209">
    <w:name w:val="标题 7 Char"/>
    <w:link w:val="8"/>
    <w:uiPriority w:val="0"/>
    <w:rPr>
      <w:rFonts w:ascii="Times New Roman" w:hAnsi="Times New Roman" w:eastAsia="宋体" w:cs="Times New Roman"/>
      <w:b/>
      <w:bCs/>
      <w:sz w:val="24"/>
      <w:szCs w:val="24"/>
    </w:rPr>
  </w:style>
  <w:style w:type="character" w:customStyle="1" w:styleId="210">
    <w:name w:val="标题 8 Char"/>
    <w:link w:val="9"/>
    <w:uiPriority w:val="0"/>
    <w:rPr>
      <w:rFonts w:ascii="Arial" w:hAnsi="Arial" w:eastAsia="黑体" w:cs="Times New Roman"/>
      <w:sz w:val="24"/>
      <w:szCs w:val="24"/>
    </w:rPr>
  </w:style>
  <w:style w:type="character" w:customStyle="1" w:styleId="211">
    <w:name w:val="标题 9 Char"/>
    <w:link w:val="10"/>
    <w:qFormat/>
    <w:uiPriority w:val="0"/>
    <w:rPr>
      <w:rFonts w:ascii="Arial" w:hAnsi="Arial" w:eastAsia="黑体" w:cs="Times New Roman"/>
      <w:szCs w:val="21"/>
    </w:rPr>
  </w:style>
  <w:style w:type="character" w:customStyle="1" w:styleId="212">
    <w:name w:val="页眉 Char"/>
    <w:link w:val="18"/>
    <w:qFormat/>
    <w:uiPriority w:val="99"/>
    <w:rPr>
      <w:rFonts w:ascii="Times New Roman" w:hAnsi="Times New Roman" w:eastAsia="宋体" w:cs="Times New Roman"/>
      <w:sz w:val="18"/>
      <w:szCs w:val="18"/>
    </w:rPr>
  </w:style>
  <w:style w:type="character" w:customStyle="1" w:styleId="213">
    <w:name w:val="页脚 Char"/>
    <w:link w:val="17"/>
    <w:qFormat/>
    <w:uiPriority w:val="99"/>
    <w:rPr>
      <w:rFonts w:ascii="宋体" w:hAnsi="Times New Roman" w:eastAsia="宋体" w:cs="Times New Roman"/>
      <w:sz w:val="18"/>
      <w:szCs w:val="18"/>
    </w:rPr>
  </w:style>
  <w:style w:type="character" w:customStyle="1" w:styleId="214">
    <w:name w:val="批注框文本 Char"/>
    <w:link w:val="16"/>
    <w:semiHidden/>
    <w:qFormat/>
    <w:uiPriority w:val="99"/>
    <w:rPr>
      <w:sz w:val="18"/>
      <w:szCs w:val="18"/>
    </w:rPr>
  </w:style>
  <w:style w:type="character" w:customStyle="1" w:styleId="215">
    <w:name w:val="引用 Char"/>
    <w:link w:val="32"/>
    <w:uiPriority w:val="29"/>
    <w:rPr>
      <w:i/>
      <w:iCs/>
      <w:color w:val="000000"/>
    </w:rPr>
  </w:style>
  <w:style w:type="character" w:customStyle="1" w:styleId="216">
    <w:name w:val="标题 Char"/>
    <w:link w:val="25"/>
    <w:qFormat/>
    <w:uiPriority w:val="0"/>
    <w:rPr>
      <w:rFonts w:ascii="Arial" w:hAnsi="Arial" w:eastAsia="宋体" w:cs="Arial"/>
      <w:b/>
      <w:bCs/>
      <w:sz w:val="32"/>
      <w:szCs w:val="32"/>
    </w:rPr>
  </w:style>
  <w:style w:type="character" w:customStyle="1" w:styleId="217">
    <w:name w:val="标准文件_发布"/>
    <w:qFormat/>
    <w:uiPriority w:val="0"/>
    <w:rPr>
      <w:rFonts w:ascii="黑体" w:eastAsia="黑体"/>
      <w:spacing w:val="0"/>
      <w:w w:val="100"/>
      <w:position w:val="3"/>
      <w:sz w:val="28"/>
    </w:rPr>
  </w:style>
  <w:style w:type="character" w:customStyle="1" w:styleId="218">
    <w:name w:val="正文文本 Char"/>
    <w:link w:val="13"/>
    <w:qFormat/>
    <w:uiPriority w:val="0"/>
    <w:rPr>
      <w:rFonts w:ascii="Times New Roman" w:hAnsi="Times New Roman" w:eastAsia="宋体" w:cs="Times New Roman"/>
      <w:szCs w:val="20"/>
    </w:rPr>
  </w:style>
  <w:style w:type="character" w:customStyle="1" w:styleId="219">
    <w:name w:val="Subtle Reference"/>
    <w:qFormat/>
    <w:uiPriority w:val="31"/>
    <w:rPr>
      <w:smallCaps/>
      <w:color w:val="C0504D"/>
      <w:u w:val="single"/>
    </w:rPr>
  </w:style>
  <w:style w:type="character" w:customStyle="1" w:styleId="220">
    <w:name w:val="脚注文本 Char"/>
    <w:link w:val="21"/>
    <w:semiHidden/>
    <w:qFormat/>
    <w:uiPriority w:val="0"/>
    <w:rPr>
      <w:rFonts w:ascii="宋体" w:hAnsi="Times New Roman" w:eastAsia="宋体" w:cs="Times New Roman"/>
      <w:sz w:val="18"/>
      <w:szCs w:val="18"/>
    </w:rPr>
  </w:style>
  <w:style w:type="character" w:customStyle="1" w:styleId="221">
    <w:name w:val="标准文件_图表脚注内容"/>
    <w:qFormat/>
    <w:uiPriority w:val="0"/>
    <w:rPr>
      <w:rFonts w:ascii="宋体" w:hAnsi="宋体" w:eastAsia="宋体" w:cs="Times New Roman"/>
      <w:spacing w:val="0"/>
      <w:sz w:val="18"/>
      <w:vertAlign w:val="superscript"/>
    </w:rPr>
  </w:style>
  <w:style w:type="character" w:customStyle="1" w:styleId="222">
    <w:name w:val="个人答复风格"/>
    <w:uiPriority w:val="0"/>
    <w:rPr>
      <w:rFonts w:ascii="Arial" w:hAnsi="Arial" w:eastAsia="宋体" w:cs="Arial"/>
      <w:color w:val="auto"/>
      <w:spacing w:val="0"/>
      <w:sz w:val="20"/>
    </w:rPr>
  </w:style>
  <w:style w:type="character" w:customStyle="1" w:styleId="223">
    <w:name w:val="个人撰写风格"/>
    <w:uiPriority w:val="0"/>
    <w:rPr>
      <w:rFonts w:ascii="Arial" w:hAnsi="Arial" w:eastAsia="宋体" w:cs="Arial"/>
      <w:color w:val="auto"/>
      <w:spacing w:val="0"/>
      <w:sz w:val="20"/>
    </w:rPr>
  </w:style>
  <w:style w:type="character" w:customStyle="1" w:styleId="224">
    <w:name w:val="标准文件_段 Char"/>
    <w:link w:val="40"/>
    <w:qFormat/>
    <w:uiPriority w:val="0"/>
    <w:rPr>
      <w:rFonts w:ascii="宋体" w:hAnsi="Times New Roman"/>
      <w:sz w:val="21"/>
    </w:rPr>
  </w:style>
  <w:style w:type="character" w:customStyle="1" w:styleId="225">
    <w:name w:val="Placeholder Text"/>
    <w:basedOn w:val="26"/>
    <w:semiHidden/>
    <w:qFormat/>
    <w:uiPriority w:val="99"/>
    <w:rPr>
      <w:color w:val="808080"/>
    </w:rPr>
  </w:style>
  <w:style w:type="character" w:customStyle="1" w:styleId="226">
    <w:name w:val="标准文件_来源"/>
    <w:basedOn w:val="26"/>
    <w:qFormat/>
    <w:uiPriority w:val="1"/>
    <w:rPr>
      <w:rFonts w:eastAsia="宋体"/>
      <w:sz w:val="21"/>
    </w:rPr>
  </w:style>
  <w:style w:type="character" w:customStyle="1" w:styleId="227">
    <w:name w:val="标准文件_示例X后 字符"/>
    <w:basedOn w:val="224"/>
    <w:link w:val="182"/>
    <w:uiPriority w:val="0"/>
    <w:rPr>
      <w:rFonts w:ascii="宋体" w:hAnsi="Times New Roman"/>
      <w:sz w:val="18"/>
    </w:rPr>
  </w:style>
  <w:style w:type="character" w:customStyle="1" w:styleId="228">
    <w:name w:val="发布"/>
    <w:basedOn w:val="26"/>
    <w:qFormat/>
    <w:uiPriority w:val="0"/>
    <w:rPr>
      <w:rFonts w:ascii="黑体" w:eastAsia="黑体"/>
      <w:spacing w:val="85"/>
      <w:w w:val="100"/>
      <w:position w:val="3"/>
      <w:sz w:val="28"/>
      <w:szCs w:val="28"/>
    </w:rPr>
  </w:style>
  <w:style w:type="character" w:customStyle="1" w:styleId="229">
    <w:name w:val="段 Char"/>
    <w:link w:val="202"/>
    <w:qFormat/>
    <w:locked/>
    <w:uiPriority w:val="0"/>
    <w:rPr>
      <w:rFonts w:ascii="宋体" w:hAnsi="宋体"/>
      <w:sz w:val="21"/>
    </w:rPr>
  </w:style>
  <w:style w:type="character" w:customStyle="1" w:styleId="230">
    <w:name w:val="font91"/>
    <w:basedOn w:val="26"/>
    <w:uiPriority w:val="0"/>
    <w:rPr>
      <w:rFonts w:hint="eastAsia" w:ascii="宋体" w:hAnsi="宋体" w:eastAsia="宋体" w:cs="宋体"/>
      <w:color w:val="00CCFF"/>
      <w:sz w:val="20"/>
      <w:szCs w:val="20"/>
    </w:rPr>
  </w:style>
  <w:style w:type="character" w:customStyle="1" w:styleId="231">
    <w:name w:val="font81"/>
    <w:basedOn w:val="26"/>
    <w:qFormat/>
    <w:uiPriority w:val="0"/>
    <w:rPr>
      <w:rFonts w:hint="eastAsia" w:ascii="宋体" w:hAnsi="宋体" w:eastAsia="宋体" w:cs="宋体"/>
      <w:color w:val="FF0000"/>
      <w:sz w:val="20"/>
      <w:szCs w:val="20"/>
    </w:rPr>
  </w:style>
  <w:style w:type="character" w:customStyle="1" w:styleId="232">
    <w:name w:val="font61"/>
    <w:basedOn w:val="26"/>
    <w:qFormat/>
    <w:uiPriority w:val="0"/>
    <w:rPr>
      <w:rFonts w:hint="default" w:ascii="Times New Roman" w:hAnsi="Times New Roman" w:cs="Times New Roman"/>
      <w:color w:val="000000"/>
      <w:sz w:val="20"/>
      <w:szCs w:val="20"/>
    </w:rPr>
  </w:style>
  <w:style w:type="character" w:customStyle="1" w:styleId="233">
    <w:name w:val="font01"/>
    <w:basedOn w:val="26"/>
    <w:uiPriority w:val="0"/>
    <w:rPr>
      <w:rFonts w:hint="eastAsia" w:ascii="宋体" w:hAnsi="宋体" w:eastAsia="宋体" w:cs="宋体"/>
      <w:color w:val="000000"/>
      <w:sz w:val="20"/>
      <w:szCs w:val="20"/>
    </w:rPr>
  </w:style>
  <w:style w:type="character" w:customStyle="1" w:styleId="234">
    <w:name w:val="font21"/>
    <w:basedOn w:val="26"/>
    <w:qFormat/>
    <w:uiPriority w:val="0"/>
    <w:rPr>
      <w:rFonts w:hint="eastAsia" w:ascii="宋体" w:hAnsi="宋体" w:eastAsia="宋体" w:cs="宋体"/>
      <w:color w:val="000000"/>
      <w:sz w:val="20"/>
      <w:szCs w:val="20"/>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10" Type="http://schemas.openxmlformats.org/officeDocument/2006/relationships/header" Target="header4.xml"/><Relationship Id="rId11" Type="http://schemas.openxmlformats.org/officeDocument/2006/relationships/header" Target="header5.xml"/><Relationship Id="rId12" Type="http://schemas.openxmlformats.org/officeDocument/2006/relationships/header" Target="header6.xml"/><Relationship Id="rId13" Type="http://schemas.openxmlformats.org/officeDocument/2006/relationships/footer" Target="footer4.xml"/><Relationship Id="rId14" Type="http://schemas.openxmlformats.org/officeDocument/2006/relationships/theme" Target="theme/theme1.xml"/><Relationship Id="rId15" Type="http://schemas.openxmlformats.org/officeDocument/2006/relationships/image" Target="media/image1.jpeg"/><Relationship Id="rId16" Type="http://schemas.openxmlformats.org/officeDocument/2006/relationships/image" Target="media/image2.png"/><Relationship Id="rId17" Type="http://schemas.openxmlformats.org/officeDocument/2006/relationships/customXml" Target="../customXml/item1.xml"/><Relationship Id="rId18"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header" Target="header3.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 Files\StandardEditor\template\&#22320;&#26041;&#26631;&#20934;.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33" textRotate="1"/>
    <customShpInfo spid="_x0000_s1034"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地方标准.dotx</Template>
  <Company>PCMI</Company>
  <Pages>27</Pages>
  <Words>15500</Words>
  <Characters>16802</Characters>
  <Lines>1659</Lines>
  <Paragraphs>1493</Paragraphs>
  <ScaleCrop>false</ScaleCrop>
  <LinksUpToDate>false</LinksUpToDate>
  <CharactersWithSpaces>0</CharactersWithSpaces>
  <Application>WPS Office 个人版_9.1.0.4855_{F1E327BC-269C-435d-A152-05C5408002CA}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2023-04-26T06:35:00Z</dcterms:created>
  <dc:creator>Administrator</dc:creator>
  <dc:description>&lt;config cover="true" show_menu="true" version="1.0.0" doctype="SDKXY"&gt;_x000d_
&lt;/config&gt;</dc:description>
  <cp:lastModifiedBy>DELL</cp:lastModifiedBy>
  <cp:lastPrinted>2023-04-26T06:38:00Z</cp:lastPrinted>
  <dcterms:modified xsi:type="dcterms:W3CDTF">2023-04-27T02:08:49Z</dcterms:modified>
  <dc:title>地方标准</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地方标准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2052-9.1.0.4855</vt:lpwstr>
  </property>
  <property fmtid="{D5CDD505-2E9C-101B-9397-08002B2CF9AE}" pid="15" name="ICV">
    <vt:lpwstr>17A6D7315E084494842651A18C269C8B_12</vt:lpwstr>
  </property>
</Properties>
</file>