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adjustRightInd w:val="0"/>
        <w:snapToGrid w:val="0"/>
        <w:spacing w:before="0" w:beforeAutospacing="0" w:after="0" w:afterAutospacing="0" w:line="580" w:lineRule="atLeast"/>
        <w:jc w:val="center"/>
        <w:rPr>
          <w:rFonts w:ascii="Times New Roman" w:hAnsi="Times New Roman" w:cs="Times New Roman" w:eastAsiaTheme="majorEastAsia"/>
          <w:color w:val="000000"/>
          <w:sz w:val="44"/>
          <w:szCs w:val="44"/>
        </w:rPr>
      </w:pPr>
    </w:p>
    <w:p>
      <w:pPr>
        <w:adjustRightInd/>
        <w:snapToGrid/>
        <w:spacing w:line="276" w:lineRule="auto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附件：</w:t>
      </w:r>
      <w:bookmarkStart w:id="0" w:name="_GoBack"/>
      <w:bookmarkEnd w:id="0"/>
    </w:p>
    <w:p>
      <w:pPr>
        <w:pStyle w:val="6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</w:pPr>
      <w:r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  <w:t>20</w:t>
      </w:r>
      <w:r>
        <w:rPr>
          <w:rFonts w:hint="eastAsia" w:ascii="Times New Roman" w:hAnsi="Times New Roman" w:cs="Times New Roman" w:eastAsiaTheme="majorEastAsia"/>
          <w:b/>
          <w:color w:val="000000"/>
          <w:sz w:val="44"/>
          <w:szCs w:val="44"/>
        </w:rPr>
        <w:t>21</w:t>
      </w:r>
      <w:r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  <w:t>—202</w:t>
      </w:r>
      <w:r>
        <w:rPr>
          <w:rFonts w:hint="eastAsia" w:ascii="Times New Roman" w:hAnsi="Times New Roman" w:cs="Times New Roman" w:eastAsiaTheme="majorEastAsia"/>
          <w:b/>
          <w:color w:val="000000"/>
          <w:sz w:val="44"/>
          <w:szCs w:val="44"/>
        </w:rPr>
        <w:t>3</w:t>
      </w:r>
      <w:r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  <w:t>年度</w:t>
      </w:r>
    </w:p>
    <w:p>
      <w:pPr>
        <w:pStyle w:val="6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</w:pPr>
      <w:r>
        <w:rPr>
          <w:rFonts w:ascii="Times New Roman" w:hAnsi="Times New Roman" w:cs="Times New Roman" w:eastAsiaTheme="majorEastAsia"/>
          <w:b/>
          <w:color w:val="000000"/>
          <w:sz w:val="44"/>
          <w:szCs w:val="44"/>
        </w:rPr>
        <w:t>江苏省法治建设创新项目建议</w:t>
      </w:r>
      <w:r>
        <w:rPr>
          <w:rFonts w:hint="eastAsia" w:ascii="Times New Roman" w:hAnsi="Times New Roman" w:cs="Times New Roman" w:eastAsiaTheme="majorEastAsia"/>
          <w:b/>
          <w:color w:val="000000"/>
          <w:sz w:val="44"/>
          <w:szCs w:val="44"/>
        </w:rPr>
        <w:t>名单</w:t>
      </w:r>
    </w:p>
    <w:p>
      <w:pPr>
        <w:pStyle w:val="6"/>
        <w:adjustRightInd w:val="0"/>
        <w:snapToGrid w:val="0"/>
        <w:spacing w:before="0" w:beforeAutospacing="0" w:after="0" w:afterAutospacing="0" w:line="600" w:lineRule="atLeast"/>
        <w:jc w:val="center"/>
        <w:rPr>
          <w:rFonts w:ascii="Times New Roman" w:hAnsi="Times New Roman" w:cs="Times New Roman" w:eastAsiaTheme="majorEastAsia"/>
          <w:b/>
          <w:color w:val="000000"/>
          <w:sz w:val="32"/>
          <w:szCs w:val="44"/>
        </w:rPr>
      </w:pPr>
    </w:p>
    <w:tbl>
      <w:tblPr>
        <w:tblStyle w:val="8"/>
        <w:tblW w:w="136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2"/>
        <w:gridCol w:w="6898"/>
        <w:gridCol w:w="57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楷体" w:hAnsi="楷体" w:eastAsia="楷体" w:cs="楷体"/>
                <w:b/>
                <w:bCs/>
                <w:kern w:val="0"/>
                <w:sz w:val="24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4"/>
                <w:szCs w:val="32"/>
              </w:rPr>
              <w:t>编号</w:t>
            </w:r>
          </w:p>
        </w:tc>
        <w:tc>
          <w:tcPr>
            <w:tcW w:w="6898" w:type="dxa"/>
            <w:vAlign w:val="center"/>
          </w:tcPr>
          <w:p>
            <w:pPr>
              <w:spacing w:after="0" w:line="360" w:lineRule="exact"/>
              <w:jc w:val="center"/>
              <w:rPr>
                <w:rFonts w:ascii="楷体" w:hAnsi="楷体" w:eastAsia="楷体" w:cs="楷体"/>
                <w:b/>
                <w:bCs/>
                <w:kern w:val="0"/>
                <w:sz w:val="24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4"/>
                <w:szCs w:val="32"/>
              </w:rPr>
              <w:t>项目名称</w:t>
            </w:r>
          </w:p>
        </w:tc>
        <w:tc>
          <w:tcPr>
            <w:tcW w:w="5718" w:type="dxa"/>
            <w:vAlign w:val="center"/>
          </w:tcPr>
          <w:p>
            <w:pPr>
              <w:spacing w:after="0" w:line="360" w:lineRule="exact"/>
              <w:jc w:val="center"/>
              <w:rPr>
                <w:rFonts w:ascii="楷体" w:hAnsi="楷体" w:eastAsia="楷体" w:cs="楷体"/>
                <w:b/>
                <w:bCs/>
                <w:kern w:val="0"/>
                <w:sz w:val="24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4"/>
                <w:szCs w:val="32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全国首个商业秘密在线保护公证平台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南京市司法局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打造“五位一体”司法护航民营企业高质量发展“南京模式”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南京市中级人民法院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全国首个公平竞争审查监测评估系统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南京市市场监管局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厚植法治理念，深耕合规文化，赋能企业高质量发展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南京证券股份有限公司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5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搭建公证+仲裁校外非学科培训监管平台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无锡市司法局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6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构建村居法律之家打造群众家门口公共法律服务窗口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宜兴市委依法治市办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7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塑造“1+5+N”知识产权全链条行政保护生态系统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徐州市市场监管局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8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“心唤新•浪回头”未成年社区矫正对象损害修复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新沂市委依法治市办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9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金苹果护童工作平台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沛县人民检察院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0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创新智慧法院建设，打造“龙城e诉中心”品牌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常州市中级人民法院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打造综合行政执法筑基工程的常州样本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常州市城管局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构筑古城保护和文化传承法治保障体系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苏州市委依法治市办、苏州市姑苏区委依法治区办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</w:t>
            </w: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基层综合行政执法机构运行规范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苏州市委编办、</w:t>
            </w: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昆山市千灯镇综合行政执法局、常熟市琴川街道综合行政执法局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14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聚力“一中心五基地”建设 打造法律服务集聚示范区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苏州工业园区司法局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15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创新企业合规建设 优化法治化营商环境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张家港市司法局、张家港市人民检察院、张家港市工商业联合会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16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打造“一站式”社会治理综合服务体系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南通市委政法委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17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创新“1+2+3”刑事执行检察数智模式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如皋市人民检察院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18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信用赋能  监管提质 构建“信用+双随机”融合监管“南通模式”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南通市市场监督管理局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19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药品说明书适老化改造行政公益诉讼项目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连云港市人民检察院、连云港市委依法治市办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</w:t>
            </w:r>
            <w:r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0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海事政务闭环管理制度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连云港海事局</w:t>
            </w: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、连云港市委依法治市办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21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行政纾解工程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淮安市司法局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22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歇业“一件事”一次办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金湖县行政审批局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23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推行“二十条措施” 打造法治“五大环境”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盐城市委政法委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24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“三网”融合智慧管理，全力打造盐城社区矫正立体监管新平台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盐城市司法局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25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安全生产预防检察约谈促进企业“警钟长鸣”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东台市人民检察院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26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构建“数字未检”矩阵  激发检察数字效能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扬州市邗江区人民检察院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27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kern w:val="2"/>
                <w:sz w:val="24"/>
                <w:szCs w:val="28"/>
              </w:rPr>
              <w:t>创新建立“1+X”模式  合力打造住建执法“扬州样板”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扬州市住房和城乡建设局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28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打造不动产登记+执行“三全”服务新机制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扬州市自然资源和规划局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29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企业信用修复工作</w:t>
            </w: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出</w:t>
            </w: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实招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镇江市中级人民法院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30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法税协作 优化司法拍卖涉税应对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句容市税务局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31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交警智慧法治管理平台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泰州市公安局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32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警法融合  三所共治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泰州市司法局、泰州医药高新区（高港区）司法局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33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构建基层综合行政执法“三级一体抓规范”责任体系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宿迁市委依法治市办、宿迁市城管局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34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探索生态产品“绿票交易”机制法治化实现路径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泗洪县委依法治县办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35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实施机构编制法规制度建设两年行动（2021-2022年）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省委编办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36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“优化法治化营商环境执行年”1+4专项行动</w:t>
            </w:r>
          </w:p>
        </w:tc>
        <w:tc>
          <w:tcPr>
            <w:tcW w:w="5718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省高院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37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监狱刑罚执行与检察监督协作配合机制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省检察院、省监狱管理局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38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《关于促进车联网和智能网联汽车发展的决定》立法项目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省工信厅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39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互联网宗教信息服务许可与监管工作机制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省民宗委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40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执法办案管理中心建设应用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省公安厅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41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法治领航铸就金色资产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省财政厅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42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工程建设领域农民工工资“月结月清”工作机制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省人社厅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43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打造“法润苏农”普法品牌</w:t>
            </w: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 xml:space="preserve"> </w:t>
            </w: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护航农业现代化走在前做示范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省农业农村厅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44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“涉外公证+领事认证”一体联办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省外办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45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8"/>
              </w:rPr>
              <w:t>深化合规管理体系建设 助推省属企业高质量发展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省国资委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46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《江苏省公共数据管理办法》立法项目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省政务办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47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创新推行涉企全周期柔性执法 优化法治化营商环境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省市场监管局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48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监狱执法办案全周期实质化审查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省监狱管理局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49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数据知识产权保护路径创新实践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省知识产权局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1082" w:type="dxa"/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hAnsi="Times New Roman" w:cs="Times New Roman" w:eastAsiaTheme="minorEastAsia"/>
                <w:b/>
                <w:kern w:val="2"/>
                <w:sz w:val="24"/>
                <w:szCs w:val="28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kern w:val="2"/>
                <w:sz w:val="24"/>
                <w:szCs w:val="28"/>
              </w:rPr>
              <w:t>50</w:t>
            </w:r>
          </w:p>
        </w:tc>
        <w:tc>
          <w:tcPr>
            <w:tcW w:w="689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“以案促治”健全案件管理联动机制</w:t>
            </w:r>
          </w:p>
        </w:tc>
        <w:tc>
          <w:tcPr>
            <w:tcW w:w="5718" w:type="dxa"/>
            <w:vAlign w:val="center"/>
          </w:tcPr>
          <w:p>
            <w:pPr>
              <w:spacing w:after="0"/>
              <w:jc w:val="center"/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</w:pPr>
            <w:r>
              <w:rPr>
                <w:rFonts w:ascii="Times New Roman" w:hAnsi="Times New Roman" w:cs="Times New Roman" w:eastAsiaTheme="minorEastAsia"/>
                <w:kern w:val="2"/>
                <w:sz w:val="24"/>
                <w:szCs w:val="28"/>
              </w:rPr>
              <w:t>沿海集团</w:t>
            </w:r>
          </w:p>
        </w:tc>
      </w:tr>
    </w:tbl>
    <w:p>
      <w:pPr>
        <w:pStyle w:val="6"/>
        <w:adjustRightInd w:val="0"/>
        <w:snapToGrid w:val="0"/>
        <w:spacing w:before="0" w:beforeAutospacing="0" w:after="0" w:afterAutospacing="0" w:line="600" w:lineRule="atLeast"/>
        <w:rPr>
          <w:rFonts w:ascii="Times New Roman" w:hAnsi="Times New Roman" w:cs="Times New Roman" w:eastAsiaTheme="majorEastAsia"/>
          <w:color w:val="000000"/>
          <w:sz w:val="28"/>
          <w:szCs w:val="28"/>
        </w:rPr>
      </w:pPr>
    </w:p>
    <w:p>
      <w:pPr>
        <w:adjustRightInd/>
        <w:snapToGrid/>
        <w:spacing w:line="276" w:lineRule="auto"/>
        <w:rPr>
          <w:rFonts w:ascii="Times New Roman" w:hAnsi="Times New Roman" w:cs="Times New Roman" w:eastAsiaTheme="majorEastAsia"/>
          <w:color w:val="000000"/>
          <w:sz w:val="28"/>
          <w:szCs w:val="28"/>
        </w:rPr>
      </w:pPr>
      <w:r>
        <w:rPr>
          <w:rFonts w:ascii="Times New Roman" w:hAnsi="Times New Roman" w:cs="Times New Roman" w:eastAsiaTheme="majorEastAsia"/>
          <w:color w:val="000000"/>
          <w:sz w:val="28"/>
          <w:szCs w:val="28"/>
        </w:rPr>
        <w:t xml:space="preserve"> </w:t>
      </w:r>
    </w:p>
    <w:sectPr>
      <w:pgSz w:w="16838" w:h="11906" w:orient="landscape"/>
      <w:pgMar w:top="1800" w:right="1440" w:bottom="1800" w:left="1440" w:header="708" w:footer="708" w:gutter="0"/>
      <w:cols w:space="708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true"/>
  <w:bordersDoNotSurroundFooter w:val="true"/>
  <w:documentProtection w:enforcement="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9A0"/>
    <w:rsid w:val="00000230"/>
    <w:rsid w:val="00005E80"/>
    <w:rsid w:val="00023D80"/>
    <w:rsid w:val="00044DD1"/>
    <w:rsid w:val="00083FC9"/>
    <w:rsid w:val="000A4467"/>
    <w:rsid w:val="000A4766"/>
    <w:rsid w:val="000B4BF1"/>
    <w:rsid w:val="000C2E55"/>
    <w:rsid w:val="000C78B5"/>
    <w:rsid w:val="000F420C"/>
    <w:rsid w:val="000F67E0"/>
    <w:rsid w:val="000F74A7"/>
    <w:rsid w:val="00104CEA"/>
    <w:rsid w:val="00126CDB"/>
    <w:rsid w:val="00136A49"/>
    <w:rsid w:val="001859F0"/>
    <w:rsid w:val="001D363E"/>
    <w:rsid w:val="001E604F"/>
    <w:rsid w:val="001F3119"/>
    <w:rsid w:val="00203CEA"/>
    <w:rsid w:val="002207C6"/>
    <w:rsid w:val="00227420"/>
    <w:rsid w:val="0023796C"/>
    <w:rsid w:val="00241724"/>
    <w:rsid w:val="00250298"/>
    <w:rsid w:val="002C4683"/>
    <w:rsid w:val="002D37ED"/>
    <w:rsid w:val="002E40B3"/>
    <w:rsid w:val="002F1CF0"/>
    <w:rsid w:val="00306846"/>
    <w:rsid w:val="00314152"/>
    <w:rsid w:val="00323B43"/>
    <w:rsid w:val="00342845"/>
    <w:rsid w:val="0037584D"/>
    <w:rsid w:val="003776E5"/>
    <w:rsid w:val="00394574"/>
    <w:rsid w:val="003B1901"/>
    <w:rsid w:val="003B6365"/>
    <w:rsid w:val="003D37D8"/>
    <w:rsid w:val="00406FC8"/>
    <w:rsid w:val="004358AB"/>
    <w:rsid w:val="004458F2"/>
    <w:rsid w:val="00453FB6"/>
    <w:rsid w:val="00481B31"/>
    <w:rsid w:val="004969C7"/>
    <w:rsid w:val="004974FE"/>
    <w:rsid w:val="004A5501"/>
    <w:rsid w:val="004A6F25"/>
    <w:rsid w:val="004E5132"/>
    <w:rsid w:val="004F3B73"/>
    <w:rsid w:val="004F5040"/>
    <w:rsid w:val="0051208B"/>
    <w:rsid w:val="00567115"/>
    <w:rsid w:val="00596DC9"/>
    <w:rsid w:val="005D121C"/>
    <w:rsid w:val="005E1A59"/>
    <w:rsid w:val="005E68B2"/>
    <w:rsid w:val="00604C09"/>
    <w:rsid w:val="00613A70"/>
    <w:rsid w:val="00630EFB"/>
    <w:rsid w:val="00657986"/>
    <w:rsid w:val="006620A7"/>
    <w:rsid w:val="006734C0"/>
    <w:rsid w:val="00687F50"/>
    <w:rsid w:val="006B339A"/>
    <w:rsid w:val="006D282B"/>
    <w:rsid w:val="006F31D6"/>
    <w:rsid w:val="00740F2C"/>
    <w:rsid w:val="007451BE"/>
    <w:rsid w:val="00751C8B"/>
    <w:rsid w:val="007757FA"/>
    <w:rsid w:val="007A0F22"/>
    <w:rsid w:val="007C691F"/>
    <w:rsid w:val="008612CF"/>
    <w:rsid w:val="008735DC"/>
    <w:rsid w:val="00883840"/>
    <w:rsid w:val="008B71C9"/>
    <w:rsid w:val="008B7453"/>
    <w:rsid w:val="008B7726"/>
    <w:rsid w:val="008C09A0"/>
    <w:rsid w:val="008D214C"/>
    <w:rsid w:val="00907F74"/>
    <w:rsid w:val="0091289D"/>
    <w:rsid w:val="00920860"/>
    <w:rsid w:val="009235AD"/>
    <w:rsid w:val="00980C91"/>
    <w:rsid w:val="00986DDA"/>
    <w:rsid w:val="009B60A6"/>
    <w:rsid w:val="00A45DBA"/>
    <w:rsid w:val="00A470DB"/>
    <w:rsid w:val="00A51575"/>
    <w:rsid w:val="00A54BF0"/>
    <w:rsid w:val="00A9638F"/>
    <w:rsid w:val="00AB5D24"/>
    <w:rsid w:val="00AD3022"/>
    <w:rsid w:val="00B01A08"/>
    <w:rsid w:val="00B020FE"/>
    <w:rsid w:val="00B52DE0"/>
    <w:rsid w:val="00B55B2B"/>
    <w:rsid w:val="00B670B5"/>
    <w:rsid w:val="00B74DC4"/>
    <w:rsid w:val="00B75F68"/>
    <w:rsid w:val="00B80CF9"/>
    <w:rsid w:val="00BC3CBE"/>
    <w:rsid w:val="00C22236"/>
    <w:rsid w:val="00C8544C"/>
    <w:rsid w:val="00C91F82"/>
    <w:rsid w:val="00C94772"/>
    <w:rsid w:val="00CB30D1"/>
    <w:rsid w:val="00CF0F50"/>
    <w:rsid w:val="00D00677"/>
    <w:rsid w:val="00D16DD6"/>
    <w:rsid w:val="00D437E1"/>
    <w:rsid w:val="00D44846"/>
    <w:rsid w:val="00D7427F"/>
    <w:rsid w:val="00D76D23"/>
    <w:rsid w:val="00DA7BA7"/>
    <w:rsid w:val="00DC5951"/>
    <w:rsid w:val="00DE69D9"/>
    <w:rsid w:val="00DF4301"/>
    <w:rsid w:val="00E05016"/>
    <w:rsid w:val="00E3001F"/>
    <w:rsid w:val="00E3029F"/>
    <w:rsid w:val="00E34C0D"/>
    <w:rsid w:val="00E85341"/>
    <w:rsid w:val="00EA5C47"/>
    <w:rsid w:val="00EB281E"/>
    <w:rsid w:val="00EC6E77"/>
    <w:rsid w:val="00ED0F09"/>
    <w:rsid w:val="00EE4C2A"/>
    <w:rsid w:val="00EF6877"/>
    <w:rsid w:val="00F62021"/>
    <w:rsid w:val="00F70AF3"/>
    <w:rsid w:val="00FD3B01"/>
    <w:rsid w:val="EFFF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table" w:styleId="8">
    <w:name w:val="Table Grid"/>
    <w:basedOn w:val="7"/>
    <w:qFormat/>
    <w:uiPriority w:val="59"/>
    <w:pPr>
      <w:spacing w:after="0" w:line="240" w:lineRule="auto"/>
    </w:pPr>
    <w:rPr>
      <w:rFonts w:eastAsiaTheme="minorEastAsia"/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semiHidden/>
    <w:unhideWhenUsed/>
    <w:qFormat/>
    <w:uiPriority w:val="99"/>
    <w:rPr>
      <w:rFonts w:hint="eastAsia" w:ascii="宋体" w:hAnsi="宋体" w:eastAsia="宋体"/>
      <w:color w:val="000000"/>
      <w:u w:val="none"/>
    </w:rPr>
  </w:style>
  <w:style w:type="character" w:customStyle="1" w:styleId="11">
    <w:name w:val="页眉 Char"/>
    <w:basedOn w:val="9"/>
    <w:link w:val="5"/>
    <w:qFormat/>
    <w:uiPriority w:val="99"/>
    <w:rPr>
      <w:rFonts w:ascii="Tahoma" w:hAnsi="Tahoma"/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rFonts w:ascii="Tahoma" w:hAnsi="Tahoma"/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日期 Char"/>
    <w:basedOn w:val="9"/>
    <w:link w:val="2"/>
    <w:semiHidden/>
    <w:qFormat/>
    <w:uiPriority w:val="99"/>
    <w:rPr>
      <w:rFonts w:ascii="Tahoma" w:hAnsi="Tahom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SkyUN.Org</Company>
  <Pages>4</Pages>
  <Words>315</Words>
  <Characters>1800</Characters>
  <Lines>15</Lines>
  <Paragraphs>4</Paragraphs>
  <TotalTime>511</TotalTime>
  <ScaleCrop>false</ScaleCrop>
  <LinksUpToDate>false</LinksUpToDate>
  <CharactersWithSpaces>2111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2015-01-05T12:38:00Z</dcterms:created>
  <dc:creator>侍军宁</dc:creator>
  <cp:lastModifiedBy>user</cp:lastModifiedBy>
  <cp:lastPrinted>2017-12-01T14:55:00Z</cp:lastPrinted>
  <dcterms:modified xsi:type="dcterms:W3CDTF">2023-11-22T14:53:26Z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